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B26C" w14:textId="2D7DE8C2" w:rsidR="00DB4649" w:rsidRPr="00B72DDB" w:rsidRDefault="00854B76" w:rsidP="00DB4649">
      <w:pPr>
        <w:spacing w:after="0"/>
        <w:jc w:val="both"/>
        <w:rPr>
          <w:rFonts w:ascii="Arial" w:hAnsi="Arial" w:cs="Arial"/>
          <w:sz w:val="20"/>
        </w:rPr>
      </w:pPr>
      <w:r w:rsidRPr="00AE56DF">
        <w:rPr>
          <w:rFonts w:ascii="Arial" w:hAnsi="Arial" w:cs="Arial"/>
          <w:b/>
          <w:sz w:val="20"/>
        </w:rPr>
        <w:t>ESS1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DB4649" w:rsidRPr="00B72DDB" w14:paraId="76BF34C2" w14:textId="77777777" w:rsidTr="002805F7">
        <w:tc>
          <w:tcPr>
            <w:tcW w:w="2970" w:type="dxa"/>
            <w:shd w:val="clear" w:color="auto" w:fill="auto"/>
          </w:tcPr>
          <w:p w14:paraId="4D2DB685" w14:textId="77777777" w:rsidR="00DB4649" w:rsidRPr="00B72DDB" w:rsidRDefault="00DB4649" w:rsidP="002805F7">
            <w:pPr>
              <w:spacing w:after="0" w:line="360" w:lineRule="auto"/>
              <w:rPr>
                <w:rFonts w:ascii="Arial" w:hAnsi="Arial" w:cs="Arial"/>
                <w:b/>
              </w:rPr>
            </w:pPr>
            <w:r w:rsidRPr="00B72DDB">
              <w:rPr>
                <w:rFonts w:ascii="Arial" w:hAnsi="Arial" w:cs="Arial"/>
                <w:b/>
              </w:rPr>
              <w:t>Service Specification No.</w:t>
            </w:r>
          </w:p>
        </w:tc>
        <w:tc>
          <w:tcPr>
            <w:tcW w:w="5444" w:type="dxa"/>
            <w:shd w:val="clear" w:color="auto" w:fill="auto"/>
          </w:tcPr>
          <w:p w14:paraId="6DBFEB9F" w14:textId="52571C30" w:rsidR="00DB4649" w:rsidRPr="00B72DDB" w:rsidRDefault="00854B76" w:rsidP="002805F7">
            <w:pPr>
              <w:spacing w:after="0"/>
              <w:rPr>
                <w:rFonts w:ascii="Arial" w:hAnsi="Arial" w:cs="Arial"/>
                <w:sz w:val="20"/>
              </w:rPr>
            </w:pPr>
            <w:r w:rsidRPr="00AE56DF">
              <w:rPr>
                <w:rFonts w:ascii="Arial" w:hAnsi="Arial" w:cs="Arial"/>
                <w:b/>
                <w:sz w:val="20"/>
              </w:rPr>
              <w:t>ESS1</w:t>
            </w:r>
          </w:p>
        </w:tc>
      </w:tr>
      <w:tr w:rsidR="00DB4649" w:rsidRPr="00B72DDB" w14:paraId="5AC0010D" w14:textId="77777777" w:rsidTr="002805F7">
        <w:tc>
          <w:tcPr>
            <w:tcW w:w="2970" w:type="dxa"/>
            <w:shd w:val="clear" w:color="auto" w:fill="auto"/>
          </w:tcPr>
          <w:p w14:paraId="2057FC60" w14:textId="77777777" w:rsidR="00DB4649" w:rsidRPr="00B72DDB" w:rsidRDefault="00DB4649" w:rsidP="002805F7">
            <w:pPr>
              <w:spacing w:after="0" w:line="360" w:lineRule="auto"/>
              <w:rPr>
                <w:rFonts w:ascii="Arial" w:hAnsi="Arial" w:cs="Arial"/>
                <w:b/>
              </w:rPr>
            </w:pPr>
            <w:r w:rsidRPr="00B72DDB">
              <w:rPr>
                <w:rFonts w:ascii="Arial" w:hAnsi="Arial" w:cs="Arial"/>
                <w:b/>
              </w:rPr>
              <w:t>Service</w:t>
            </w:r>
          </w:p>
        </w:tc>
        <w:tc>
          <w:tcPr>
            <w:tcW w:w="5444" w:type="dxa"/>
            <w:shd w:val="clear" w:color="auto" w:fill="auto"/>
          </w:tcPr>
          <w:p w14:paraId="6A79B920" w14:textId="5786A7F7" w:rsidR="00DB4649" w:rsidRPr="00B72DDB" w:rsidRDefault="00854B76" w:rsidP="002805F7">
            <w:pPr>
              <w:spacing w:after="0"/>
              <w:rPr>
                <w:rFonts w:ascii="Arial" w:hAnsi="Arial" w:cs="Arial"/>
                <w:sz w:val="20"/>
              </w:rPr>
            </w:pPr>
            <w:r w:rsidRPr="00F72D51">
              <w:rPr>
                <w:rFonts w:ascii="Arial" w:eastAsia="Arial" w:hAnsi="Arial" w:cs="Arial"/>
                <w:b/>
                <w:szCs w:val="24"/>
                <w:lang w:val="en-GB"/>
              </w:rPr>
              <w:t>Locally Commissioned Service: Community Pharmacy Emergency Supply Service (ESS)</w:t>
            </w:r>
          </w:p>
        </w:tc>
      </w:tr>
      <w:tr w:rsidR="00DB4649" w:rsidRPr="00B72DDB" w14:paraId="4533D059" w14:textId="77777777" w:rsidTr="002805F7">
        <w:tc>
          <w:tcPr>
            <w:tcW w:w="2970" w:type="dxa"/>
            <w:shd w:val="clear" w:color="auto" w:fill="auto"/>
          </w:tcPr>
          <w:p w14:paraId="12F5364D" w14:textId="77777777" w:rsidR="00DB4649" w:rsidRPr="00B72DDB" w:rsidRDefault="00DB4649" w:rsidP="002805F7">
            <w:pPr>
              <w:spacing w:after="0" w:line="360" w:lineRule="auto"/>
              <w:rPr>
                <w:rFonts w:ascii="Arial" w:hAnsi="Arial" w:cs="Arial"/>
                <w:b/>
              </w:rPr>
            </w:pPr>
            <w:r w:rsidRPr="00B72DDB">
              <w:rPr>
                <w:rFonts w:ascii="Arial" w:hAnsi="Arial" w:cs="Arial"/>
                <w:b/>
              </w:rPr>
              <w:t>Commissioner Lead</w:t>
            </w:r>
          </w:p>
        </w:tc>
        <w:tc>
          <w:tcPr>
            <w:tcW w:w="5444" w:type="dxa"/>
            <w:shd w:val="clear" w:color="auto" w:fill="auto"/>
          </w:tcPr>
          <w:p w14:paraId="42A5CD2E" w14:textId="77777777" w:rsidR="00854B76" w:rsidRPr="00F72D51" w:rsidRDefault="00854B76" w:rsidP="00854B76">
            <w:pPr>
              <w:pStyle w:val="Default"/>
              <w:rPr>
                <w:rFonts w:ascii="Arial" w:hAnsi="Arial" w:cs="Arial"/>
                <w:b/>
                <w:color w:val="auto"/>
              </w:rPr>
            </w:pPr>
            <w:r w:rsidRPr="00F72D51">
              <w:rPr>
                <w:rFonts w:ascii="Arial" w:hAnsi="Arial" w:cs="Arial"/>
                <w:b/>
                <w:color w:val="auto"/>
              </w:rPr>
              <w:t>Andrew Abbot</w:t>
            </w:r>
          </w:p>
          <w:p w14:paraId="6430F4FF" w14:textId="6DBD3B72" w:rsidR="00DB4649" w:rsidRPr="00B72DDB" w:rsidRDefault="00854B76" w:rsidP="00854B76">
            <w:pPr>
              <w:spacing w:after="0"/>
              <w:rPr>
                <w:rFonts w:ascii="Arial" w:hAnsi="Arial" w:cs="Arial"/>
                <w:sz w:val="20"/>
              </w:rPr>
            </w:pPr>
            <w:r w:rsidRPr="00F72D51">
              <w:rPr>
                <w:rFonts w:ascii="Arial" w:hAnsi="Arial" w:cs="Arial"/>
                <w:b/>
                <w:szCs w:val="24"/>
              </w:rPr>
              <w:t>Director of Primary Care</w:t>
            </w:r>
          </w:p>
        </w:tc>
      </w:tr>
      <w:tr w:rsidR="00DB4649" w:rsidRPr="00B72DDB" w14:paraId="58A19D7C" w14:textId="77777777" w:rsidTr="002805F7">
        <w:tc>
          <w:tcPr>
            <w:tcW w:w="2970" w:type="dxa"/>
            <w:shd w:val="clear" w:color="auto" w:fill="auto"/>
          </w:tcPr>
          <w:p w14:paraId="6FCCCDE1" w14:textId="77777777" w:rsidR="00DB4649" w:rsidRPr="00B72DDB" w:rsidRDefault="00DB4649" w:rsidP="002805F7">
            <w:pPr>
              <w:spacing w:after="0" w:line="360" w:lineRule="auto"/>
              <w:rPr>
                <w:rFonts w:ascii="Arial" w:hAnsi="Arial" w:cs="Arial"/>
                <w:b/>
              </w:rPr>
            </w:pPr>
            <w:r w:rsidRPr="00B72DDB">
              <w:rPr>
                <w:rFonts w:ascii="Arial" w:hAnsi="Arial" w:cs="Arial"/>
                <w:b/>
              </w:rPr>
              <w:t>Provider Lead</w:t>
            </w:r>
          </w:p>
        </w:tc>
        <w:tc>
          <w:tcPr>
            <w:tcW w:w="5444" w:type="dxa"/>
            <w:shd w:val="clear" w:color="auto" w:fill="auto"/>
          </w:tcPr>
          <w:p w14:paraId="1F0331FE" w14:textId="2A5B0C92" w:rsidR="00DB4649" w:rsidRPr="00B72DDB" w:rsidRDefault="00854B76" w:rsidP="002805F7">
            <w:pPr>
              <w:spacing w:after="0"/>
              <w:rPr>
                <w:rFonts w:ascii="Arial" w:hAnsi="Arial" w:cs="Arial"/>
                <w:sz w:val="20"/>
              </w:rPr>
            </w:pPr>
            <w:r>
              <w:rPr>
                <w:rFonts w:ascii="Arial" w:hAnsi="Arial" w:cs="Arial"/>
                <w:sz w:val="20"/>
              </w:rPr>
              <w:t>XXX</w:t>
            </w:r>
          </w:p>
        </w:tc>
      </w:tr>
      <w:tr w:rsidR="00854B76" w:rsidRPr="00B72DDB" w14:paraId="495851D2" w14:textId="77777777" w:rsidTr="002805F7">
        <w:tc>
          <w:tcPr>
            <w:tcW w:w="2970" w:type="dxa"/>
            <w:shd w:val="clear" w:color="auto" w:fill="auto"/>
          </w:tcPr>
          <w:p w14:paraId="4B239170" w14:textId="77777777" w:rsidR="00854B76" w:rsidRPr="00B72DDB" w:rsidRDefault="00854B76" w:rsidP="00854B76">
            <w:pPr>
              <w:spacing w:after="0" w:line="360" w:lineRule="auto"/>
              <w:rPr>
                <w:rFonts w:ascii="Arial" w:hAnsi="Arial" w:cs="Arial"/>
                <w:b/>
              </w:rPr>
            </w:pPr>
            <w:r w:rsidRPr="00B72DDB">
              <w:rPr>
                <w:rFonts w:ascii="Arial" w:hAnsi="Arial" w:cs="Arial"/>
                <w:b/>
              </w:rPr>
              <w:t>Period</w:t>
            </w:r>
          </w:p>
        </w:tc>
        <w:tc>
          <w:tcPr>
            <w:tcW w:w="5444" w:type="dxa"/>
            <w:shd w:val="clear" w:color="auto" w:fill="auto"/>
          </w:tcPr>
          <w:p w14:paraId="2E8F450A" w14:textId="72D49536" w:rsidR="00854B76" w:rsidRPr="00B72DDB" w:rsidRDefault="00854B76" w:rsidP="00854B76">
            <w:pPr>
              <w:spacing w:after="0"/>
              <w:rPr>
                <w:rFonts w:ascii="Arial" w:hAnsi="Arial" w:cs="Arial"/>
                <w:sz w:val="20"/>
              </w:rPr>
            </w:pPr>
            <w:r w:rsidRPr="00F72D51">
              <w:rPr>
                <w:rFonts w:ascii="Arial" w:eastAsia="Arial" w:hAnsi="Arial" w:cs="Arial"/>
                <w:b/>
                <w:szCs w:val="24"/>
                <w:lang w:val="en-GB"/>
              </w:rPr>
              <w:t>1 April 2021 to 31 March 2023</w:t>
            </w:r>
          </w:p>
        </w:tc>
      </w:tr>
      <w:tr w:rsidR="00854B76" w:rsidRPr="00B72DDB" w14:paraId="08BDC542" w14:textId="77777777" w:rsidTr="002805F7">
        <w:tc>
          <w:tcPr>
            <w:tcW w:w="2970" w:type="dxa"/>
            <w:shd w:val="clear" w:color="auto" w:fill="auto"/>
          </w:tcPr>
          <w:p w14:paraId="5C47C02D" w14:textId="77777777" w:rsidR="00854B76" w:rsidRPr="00B72DDB" w:rsidRDefault="00854B76" w:rsidP="00854B76">
            <w:pPr>
              <w:spacing w:after="0" w:line="360" w:lineRule="auto"/>
              <w:rPr>
                <w:rFonts w:ascii="Arial" w:hAnsi="Arial" w:cs="Arial"/>
                <w:b/>
              </w:rPr>
            </w:pPr>
            <w:r w:rsidRPr="00B72DDB">
              <w:rPr>
                <w:rFonts w:ascii="Arial" w:hAnsi="Arial" w:cs="Arial"/>
                <w:b/>
              </w:rPr>
              <w:t>Date of Review</w:t>
            </w:r>
          </w:p>
        </w:tc>
        <w:tc>
          <w:tcPr>
            <w:tcW w:w="5444" w:type="dxa"/>
            <w:shd w:val="clear" w:color="auto" w:fill="auto"/>
          </w:tcPr>
          <w:p w14:paraId="47A464D9" w14:textId="06EC7F06" w:rsidR="00854B76" w:rsidRPr="00854B76" w:rsidRDefault="00854B76" w:rsidP="00854B76">
            <w:pPr>
              <w:spacing w:after="0"/>
              <w:rPr>
                <w:rFonts w:ascii="Arial" w:hAnsi="Arial" w:cs="Arial"/>
                <w:b/>
                <w:bCs/>
                <w:szCs w:val="24"/>
              </w:rPr>
            </w:pPr>
            <w:r w:rsidRPr="00854B76">
              <w:rPr>
                <w:rFonts w:ascii="Arial" w:hAnsi="Arial" w:cs="Arial"/>
                <w:b/>
                <w:bCs/>
                <w:szCs w:val="24"/>
              </w:rPr>
              <w:t>12 April 2021</w:t>
            </w:r>
          </w:p>
        </w:tc>
      </w:tr>
    </w:tbl>
    <w:p w14:paraId="73452215" w14:textId="77777777" w:rsidR="00DB4649" w:rsidRPr="00B72DDB" w:rsidRDefault="00DB4649" w:rsidP="00DB4649">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DB4649" w:rsidRPr="00B72DDB" w14:paraId="3B29CB52" w14:textId="77777777" w:rsidTr="002805F7">
        <w:tc>
          <w:tcPr>
            <w:tcW w:w="8414" w:type="dxa"/>
            <w:shd w:val="clear" w:color="auto" w:fill="auto"/>
          </w:tcPr>
          <w:p w14:paraId="3E3966CE" w14:textId="77777777" w:rsidR="00DB4649" w:rsidRPr="00B72DDB" w:rsidRDefault="00DB4649" w:rsidP="002805F7">
            <w:pPr>
              <w:spacing w:after="0" w:line="276" w:lineRule="auto"/>
              <w:rPr>
                <w:rFonts w:ascii="Arial" w:hAnsi="Arial" w:cs="Arial"/>
                <w:b/>
              </w:rPr>
            </w:pPr>
            <w:r w:rsidRPr="00B72DDB">
              <w:rPr>
                <w:rFonts w:ascii="Arial" w:hAnsi="Arial" w:cs="Arial"/>
                <w:b/>
              </w:rPr>
              <w:t>1.</w:t>
            </w:r>
            <w:r w:rsidRPr="00B72DDB">
              <w:rPr>
                <w:rFonts w:ascii="Arial" w:hAnsi="Arial" w:cs="Arial"/>
                <w:b/>
              </w:rPr>
              <w:tab/>
              <w:t>Population Needs</w:t>
            </w:r>
          </w:p>
        </w:tc>
      </w:tr>
      <w:tr w:rsidR="00DB4649" w:rsidRPr="00B72DDB" w14:paraId="504FE31B" w14:textId="77777777" w:rsidTr="002805F7">
        <w:tc>
          <w:tcPr>
            <w:tcW w:w="8414" w:type="dxa"/>
            <w:shd w:val="clear" w:color="auto" w:fill="auto"/>
          </w:tcPr>
          <w:p w14:paraId="74DFCB21" w14:textId="77777777" w:rsidR="00F57EE8" w:rsidRPr="00F57EE8" w:rsidRDefault="00DB4649" w:rsidP="00F57EE8">
            <w:pPr>
              <w:spacing w:after="0"/>
              <w:ind w:left="360"/>
              <w:rPr>
                <w:rFonts w:ascii="Arial" w:hAnsi="Arial" w:cs="Arial"/>
                <w:bCs/>
                <w:sz w:val="20"/>
              </w:rPr>
            </w:pPr>
            <w:r w:rsidRPr="00F57EE8">
              <w:rPr>
                <w:rFonts w:ascii="Arial" w:hAnsi="Arial" w:cs="Arial"/>
                <w:bCs/>
                <w:sz w:val="20"/>
              </w:rPr>
              <w:tab/>
            </w:r>
          </w:p>
          <w:p w14:paraId="48809817" w14:textId="77777777" w:rsidR="00F57EE8" w:rsidRPr="00F57EE8" w:rsidRDefault="00F57EE8" w:rsidP="00F57EE8">
            <w:pPr>
              <w:numPr>
                <w:ilvl w:val="1"/>
                <w:numId w:val="1"/>
              </w:numPr>
              <w:spacing w:after="0"/>
              <w:rPr>
                <w:rFonts w:ascii="Arial" w:hAnsi="Arial" w:cs="Arial"/>
                <w:bCs/>
                <w:sz w:val="20"/>
              </w:rPr>
            </w:pPr>
            <w:r w:rsidRPr="00F57EE8">
              <w:rPr>
                <w:rFonts w:ascii="Arial" w:hAnsi="Arial" w:cs="Arial"/>
                <w:bCs/>
                <w:sz w:val="20"/>
                <w:lang w:val="en-GB"/>
              </w:rPr>
              <w:t xml:space="preserve">The Community Pharmacy Emergency Supply Service allows the emergency supply of a patient’s medicine out of hours at NHS expense </w:t>
            </w:r>
            <w:proofErr w:type="gramStart"/>
            <w:r w:rsidRPr="00F57EE8">
              <w:rPr>
                <w:rFonts w:ascii="Arial" w:hAnsi="Arial" w:cs="Arial"/>
                <w:bCs/>
                <w:sz w:val="20"/>
                <w:lang w:val="en-GB"/>
              </w:rPr>
              <w:t>in order to</w:t>
            </w:r>
            <w:proofErr w:type="gramEnd"/>
            <w:r w:rsidRPr="00F57EE8">
              <w:rPr>
                <w:rFonts w:ascii="Arial" w:hAnsi="Arial" w:cs="Arial"/>
                <w:bCs/>
                <w:sz w:val="20"/>
                <w:lang w:val="en-GB"/>
              </w:rPr>
              <w:t xml:space="preserve"> reduce the number of patients contacting urgent and emergency care providers</w:t>
            </w:r>
          </w:p>
          <w:p w14:paraId="726FE8ED" w14:textId="085781CD" w:rsidR="00DB4649" w:rsidRPr="00B72DDB" w:rsidRDefault="00DB4649" w:rsidP="00F57EE8">
            <w:pPr>
              <w:spacing w:after="0"/>
              <w:ind w:left="360"/>
              <w:rPr>
                <w:rFonts w:ascii="Arial" w:hAnsi="Arial" w:cs="Arial"/>
                <w:b/>
                <w:sz w:val="20"/>
              </w:rPr>
            </w:pPr>
          </w:p>
          <w:p w14:paraId="4A47B18D" w14:textId="77777777" w:rsidR="00DB4649" w:rsidRPr="00B72DDB" w:rsidRDefault="00DB4649" w:rsidP="002805F7">
            <w:pPr>
              <w:spacing w:after="0"/>
              <w:rPr>
                <w:rFonts w:ascii="Arial" w:hAnsi="Arial" w:cs="Arial"/>
                <w:sz w:val="20"/>
              </w:rPr>
            </w:pPr>
          </w:p>
          <w:p w14:paraId="3B7345F7" w14:textId="77777777" w:rsidR="00DB4649" w:rsidRPr="00B72DDB" w:rsidRDefault="00DB4649" w:rsidP="002805F7">
            <w:pPr>
              <w:spacing w:after="0"/>
              <w:rPr>
                <w:rFonts w:ascii="Arial" w:hAnsi="Arial" w:cs="Arial"/>
                <w:sz w:val="20"/>
              </w:rPr>
            </w:pPr>
          </w:p>
        </w:tc>
      </w:tr>
      <w:tr w:rsidR="00DB4649" w:rsidRPr="00B72DDB" w14:paraId="58915E3C" w14:textId="77777777" w:rsidTr="002805F7">
        <w:tc>
          <w:tcPr>
            <w:tcW w:w="8414" w:type="dxa"/>
            <w:shd w:val="clear" w:color="auto" w:fill="auto"/>
          </w:tcPr>
          <w:p w14:paraId="23C85C80" w14:textId="77777777" w:rsidR="00DB4649" w:rsidRPr="00B72DDB" w:rsidRDefault="00DB4649" w:rsidP="002805F7">
            <w:pPr>
              <w:spacing w:after="0" w:line="276" w:lineRule="auto"/>
              <w:rPr>
                <w:rFonts w:ascii="Arial" w:hAnsi="Arial" w:cs="Arial"/>
                <w:b/>
              </w:rPr>
            </w:pPr>
            <w:r w:rsidRPr="00B72DDB">
              <w:rPr>
                <w:rFonts w:ascii="Arial" w:hAnsi="Arial" w:cs="Arial"/>
                <w:b/>
              </w:rPr>
              <w:t>2.</w:t>
            </w:r>
            <w:r w:rsidRPr="00B72DDB">
              <w:rPr>
                <w:rFonts w:ascii="Arial" w:hAnsi="Arial" w:cs="Arial"/>
                <w:b/>
              </w:rPr>
              <w:tab/>
              <w:t>Outcomes</w:t>
            </w:r>
          </w:p>
        </w:tc>
      </w:tr>
      <w:tr w:rsidR="00DB4649" w:rsidRPr="00B72DDB" w14:paraId="65816BFD" w14:textId="77777777" w:rsidTr="002805F7">
        <w:tc>
          <w:tcPr>
            <w:tcW w:w="8414" w:type="dxa"/>
            <w:shd w:val="clear" w:color="auto" w:fill="auto"/>
          </w:tcPr>
          <w:p w14:paraId="5BD9056D" w14:textId="77777777" w:rsidR="00DB4649" w:rsidRPr="00B72DDB" w:rsidRDefault="00DB4649" w:rsidP="002805F7">
            <w:pPr>
              <w:spacing w:after="0" w:line="276" w:lineRule="auto"/>
              <w:rPr>
                <w:rFonts w:ascii="Arial" w:hAnsi="Arial" w:cs="Arial"/>
                <w:b/>
                <w:sz w:val="20"/>
              </w:rPr>
            </w:pPr>
          </w:p>
          <w:p w14:paraId="2FB21A70" w14:textId="77777777" w:rsidR="00DB4649" w:rsidRPr="00B72DDB" w:rsidRDefault="00DB4649" w:rsidP="002805F7">
            <w:pPr>
              <w:spacing w:after="0" w:line="276" w:lineRule="auto"/>
              <w:rPr>
                <w:rFonts w:ascii="Arial" w:hAnsi="Arial" w:cs="Arial"/>
                <w:b/>
                <w:sz w:val="20"/>
              </w:rPr>
            </w:pPr>
            <w:r w:rsidRPr="00B72DDB">
              <w:rPr>
                <w:rFonts w:ascii="Arial" w:hAnsi="Arial" w:cs="Arial"/>
                <w:b/>
                <w:sz w:val="20"/>
              </w:rPr>
              <w:t>2.1</w:t>
            </w:r>
            <w:r w:rsidRPr="00B72DDB">
              <w:rPr>
                <w:rFonts w:ascii="Arial" w:hAnsi="Arial" w:cs="Arial"/>
                <w:b/>
                <w:sz w:val="20"/>
              </w:rPr>
              <w:tab/>
            </w:r>
            <w:r w:rsidRPr="00B72DDB">
              <w:rPr>
                <w:rFonts w:ascii="Arial" w:hAnsi="Arial" w:cs="Arial"/>
                <w:b/>
                <w:sz w:val="20"/>
                <w:u w:val="single"/>
              </w:rPr>
              <w:t>NHS Outcomes Framework Domains &amp; Indicators</w:t>
            </w:r>
          </w:p>
          <w:p w14:paraId="5EAD0D7B" w14:textId="77777777" w:rsidR="00DB4649" w:rsidRPr="00B72DDB" w:rsidRDefault="00DB4649" w:rsidP="002805F7">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6"/>
              <w:gridCol w:w="5398"/>
              <w:gridCol w:w="786"/>
            </w:tblGrid>
            <w:tr w:rsidR="00DB4649" w:rsidRPr="00B72DDB" w14:paraId="1C354D3B" w14:textId="77777777" w:rsidTr="002805F7">
              <w:trPr>
                <w:tblHeader/>
              </w:trPr>
              <w:tc>
                <w:tcPr>
                  <w:tcW w:w="1276" w:type="dxa"/>
                </w:tcPr>
                <w:p w14:paraId="2FEB1CDF"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Domain 1</w:t>
                  </w:r>
                </w:p>
              </w:tc>
              <w:tc>
                <w:tcPr>
                  <w:tcW w:w="5528" w:type="dxa"/>
                </w:tcPr>
                <w:p w14:paraId="69BF7425"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Preventing people from dying prematurely</w:t>
                  </w:r>
                </w:p>
              </w:tc>
              <w:tc>
                <w:tcPr>
                  <w:tcW w:w="641" w:type="dxa"/>
                </w:tcPr>
                <w:p w14:paraId="70D7A72D" w14:textId="77777777" w:rsidR="00DB4649" w:rsidRPr="00B72DDB" w:rsidRDefault="00DB4649" w:rsidP="002805F7">
                  <w:pPr>
                    <w:spacing w:line="276" w:lineRule="auto"/>
                    <w:rPr>
                      <w:rFonts w:ascii="Arial" w:hAnsi="Arial" w:cs="Arial"/>
                      <w:b/>
                      <w:sz w:val="20"/>
                    </w:rPr>
                  </w:pPr>
                </w:p>
              </w:tc>
            </w:tr>
            <w:tr w:rsidR="00DB4649" w:rsidRPr="00B72DDB" w14:paraId="0F558489" w14:textId="77777777" w:rsidTr="002805F7">
              <w:tc>
                <w:tcPr>
                  <w:tcW w:w="1276" w:type="dxa"/>
                </w:tcPr>
                <w:p w14:paraId="43E088DB"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Domain 2</w:t>
                  </w:r>
                </w:p>
              </w:tc>
              <w:tc>
                <w:tcPr>
                  <w:tcW w:w="5528" w:type="dxa"/>
                </w:tcPr>
                <w:p w14:paraId="17EF0AC9"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Enhancing quality of life for people with long-term conditions</w:t>
                  </w:r>
                </w:p>
              </w:tc>
              <w:tc>
                <w:tcPr>
                  <w:tcW w:w="641" w:type="dxa"/>
                </w:tcPr>
                <w:p w14:paraId="487D7099" w14:textId="24D51861" w:rsidR="00DB4649" w:rsidRPr="00B72DDB" w:rsidRDefault="0030195D" w:rsidP="002805F7">
                  <w:pPr>
                    <w:spacing w:line="276" w:lineRule="auto"/>
                    <w:rPr>
                      <w:rFonts w:ascii="Arial" w:hAnsi="Arial" w:cs="Arial"/>
                      <w:b/>
                      <w:sz w:val="20"/>
                    </w:rPr>
                  </w:pPr>
                  <w:r w:rsidRPr="00926C62">
                    <w:rPr>
                      <w:rFonts w:ascii="Arial" w:eastAsia="Times New Roman" w:hAnsi="Arial" w:cs="Arial"/>
                      <w:b/>
                      <w:noProof/>
                      <w:color w:val="00B050"/>
                      <w:szCs w:val="24"/>
                      <w:lang w:val="en-GB" w:eastAsia="en-GB"/>
                    </w:rPr>
                    <w:drawing>
                      <wp:inline distT="0" distB="0" distL="0" distR="0" wp14:anchorId="1E1511A4" wp14:editId="2952703C">
                        <wp:extent cx="358140" cy="274320"/>
                        <wp:effectExtent l="0" t="0" r="3810" b="0"/>
                        <wp:docPr id="1" name="Picture 1" descr="C:\Users\savorych\AppData\Local\Microsoft\Windows\Temporary Internet Files\Content.IE5\EGENK1XX\medium-Correct-Sign-166.6-33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orych\AppData\Local\Microsoft\Windows\Temporary Internet Files\Content.IE5\EGENK1XX\medium-Correct-Sign-166.6-3302[1].gif"/>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8140" cy="274320"/>
                                </a:xfrm>
                                <a:prstGeom prst="rect">
                                  <a:avLst/>
                                </a:prstGeom>
                                <a:noFill/>
                                <a:ln>
                                  <a:noFill/>
                                </a:ln>
                              </pic:spPr>
                            </pic:pic>
                          </a:graphicData>
                        </a:graphic>
                      </wp:inline>
                    </w:drawing>
                  </w:r>
                </w:p>
              </w:tc>
            </w:tr>
            <w:tr w:rsidR="00DB4649" w:rsidRPr="00B72DDB" w14:paraId="539A7B71" w14:textId="77777777" w:rsidTr="002805F7">
              <w:tc>
                <w:tcPr>
                  <w:tcW w:w="1276" w:type="dxa"/>
                </w:tcPr>
                <w:p w14:paraId="5ECA4546"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Domain 3</w:t>
                  </w:r>
                </w:p>
              </w:tc>
              <w:tc>
                <w:tcPr>
                  <w:tcW w:w="5528" w:type="dxa"/>
                </w:tcPr>
                <w:p w14:paraId="10D06F8A"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Helping people to recover from episodes of ill-health or following injury</w:t>
                  </w:r>
                </w:p>
              </w:tc>
              <w:tc>
                <w:tcPr>
                  <w:tcW w:w="641" w:type="dxa"/>
                </w:tcPr>
                <w:p w14:paraId="2753C432" w14:textId="77777777" w:rsidR="00DB4649" w:rsidRPr="00B72DDB" w:rsidRDefault="00DB4649" w:rsidP="002805F7">
                  <w:pPr>
                    <w:spacing w:line="276" w:lineRule="auto"/>
                    <w:rPr>
                      <w:rFonts w:ascii="Arial" w:hAnsi="Arial" w:cs="Arial"/>
                      <w:b/>
                      <w:sz w:val="20"/>
                    </w:rPr>
                  </w:pPr>
                </w:p>
              </w:tc>
            </w:tr>
            <w:tr w:rsidR="00DB4649" w:rsidRPr="00B72DDB" w14:paraId="6F9B15F7" w14:textId="77777777" w:rsidTr="002805F7">
              <w:tc>
                <w:tcPr>
                  <w:tcW w:w="1276" w:type="dxa"/>
                </w:tcPr>
                <w:p w14:paraId="687E909D"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Domain 4</w:t>
                  </w:r>
                </w:p>
              </w:tc>
              <w:tc>
                <w:tcPr>
                  <w:tcW w:w="5528" w:type="dxa"/>
                </w:tcPr>
                <w:p w14:paraId="5A7ECCD2"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Ensuring people have a positive experience of care</w:t>
                  </w:r>
                </w:p>
              </w:tc>
              <w:tc>
                <w:tcPr>
                  <w:tcW w:w="641" w:type="dxa"/>
                </w:tcPr>
                <w:p w14:paraId="4D8482CF" w14:textId="50999344" w:rsidR="00DB4649" w:rsidRPr="00B72DDB" w:rsidRDefault="0030195D" w:rsidP="002805F7">
                  <w:pPr>
                    <w:spacing w:line="276" w:lineRule="auto"/>
                    <w:rPr>
                      <w:rFonts w:ascii="Arial" w:hAnsi="Arial" w:cs="Arial"/>
                      <w:b/>
                      <w:sz w:val="20"/>
                    </w:rPr>
                  </w:pPr>
                  <w:r w:rsidRPr="00926C62">
                    <w:rPr>
                      <w:rFonts w:ascii="Arial" w:eastAsia="Times New Roman" w:hAnsi="Arial" w:cs="Arial"/>
                      <w:b/>
                      <w:noProof/>
                      <w:color w:val="00B050"/>
                      <w:szCs w:val="24"/>
                      <w:lang w:val="en-GB" w:eastAsia="en-GB"/>
                    </w:rPr>
                    <w:drawing>
                      <wp:inline distT="0" distB="0" distL="0" distR="0" wp14:anchorId="2EB381A7" wp14:editId="3781B75D">
                        <wp:extent cx="358140" cy="274320"/>
                        <wp:effectExtent l="0" t="0" r="3810" b="0"/>
                        <wp:docPr id="2" name="Picture 2" descr="C:\Users\savorych\AppData\Local\Microsoft\Windows\Temporary Internet Files\Content.IE5\EGENK1XX\medium-Correct-Sign-166.6-33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orych\AppData\Local\Microsoft\Windows\Temporary Internet Files\Content.IE5\EGENK1XX\medium-Correct-Sign-166.6-3302[1].gif"/>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8140" cy="274320"/>
                                </a:xfrm>
                                <a:prstGeom prst="rect">
                                  <a:avLst/>
                                </a:prstGeom>
                                <a:noFill/>
                                <a:ln>
                                  <a:noFill/>
                                </a:ln>
                              </pic:spPr>
                            </pic:pic>
                          </a:graphicData>
                        </a:graphic>
                      </wp:inline>
                    </w:drawing>
                  </w:r>
                </w:p>
              </w:tc>
            </w:tr>
            <w:tr w:rsidR="00DB4649" w:rsidRPr="00B72DDB" w14:paraId="19CAB1A0" w14:textId="77777777" w:rsidTr="002805F7">
              <w:tc>
                <w:tcPr>
                  <w:tcW w:w="1276" w:type="dxa"/>
                </w:tcPr>
                <w:p w14:paraId="2BA68B9C"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Domain 5</w:t>
                  </w:r>
                </w:p>
              </w:tc>
              <w:tc>
                <w:tcPr>
                  <w:tcW w:w="5528" w:type="dxa"/>
                </w:tcPr>
                <w:p w14:paraId="2F46A249" w14:textId="77777777" w:rsidR="00DB4649" w:rsidRPr="00B72DDB" w:rsidRDefault="00DB4649" w:rsidP="002805F7">
                  <w:pPr>
                    <w:spacing w:line="276" w:lineRule="auto"/>
                    <w:rPr>
                      <w:rFonts w:ascii="Arial" w:hAnsi="Arial" w:cs="Arial"/>
                      <w:b/>
                      <w:sz w:val="20"/>
                    </w:rPr>
                  </w:pPr>
                  <w:r w:rsidRPr="00B72DDB">
                    <w:rPr>
                      <w:rFonts w:ascii="Arial" w:hAnsi="Arial" w:cs="Arial"/>
                      <w:b/>
                      <w:sz w:val="20"/>
                    </w:rPr>
                    <w:t>Treating and caring for people in safe environment and protecting them from avoidable harm</w:t>
                  </w:r>
                </w:p>
              </w:tc>
              <w:tc>
                <w:tcPr>
                  <w:tcW w:w="641" w:type="dxa"/>
                </w:tcPr>
                <w:p w14:paraId="43CC905A" w14:textId="06644082" w:rsidR="00DB4649" w:rsidRPr="00B72DDB" w:rsidRDefault="0030195D" w:rsidP="002805F7">
                  <w:pPr>
                    <w:spacing w:line="276" w:lineRule="auto"/>
                    <w:rPr>
                      <w:rFonts w:ascii="Arial" w:hAnsi="Arial" w:cs="Arial"/>
                      <w:b/>
                      <w:sz w:val="20"/>
                    </w:rPr>
                  </w:pPr>
                  <w:r w:rsidRPr="00926C62">
                    <w:rPr>
                      <w:rFonts w:ascii="Arial" w:eastAsia="Times New Roman" w:hAnsi="Arial" w:cs="Arial"/>
                      <w:b/>
                      <w:noProof/>
                      <w:color w:val="00B050"/>
                      <w:szCs w:val="24"/>
                      <w:lang w:val="en-GB" w:eastAsia="en-GB"/>
                    </w:rPr>
                    <w:drawing>
                      <wp:inline distT="0" distB="0" distL="0" distR="0" wp14:anchorId="4F0B66E9" wp14:editId="0377CE84">
                        <wp:extent cx="358140" cy="274320"/>
                        <wp:effectExtent l="0" t="0" r="3810" b="0"/>
                        <wp:docPr id="3" name="Picture 3" descr="C:\Users\savorych\AppData\Local\Microsoft\Windows\Temporary Internet Files\Content.IE5\EGENK1XX\medium-Correct-Sign-166.6-33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orych\AppData\Local\Microsoft\Windows\Temporary Internet Files\Content.IE5\EGENK1XX\medium-Correct-Sign-166.6-3302[1].gif"/>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8140" cy="274320"/>
                                </a:xfrm>
                                <a:prstGeom prst="rect">
                                  <a:avLst/>
                                </a:prstGeom>
                                <a:noFill/>
                                <a:ln>
                                  <a:noFill/>
                                </a:ln>
                              </pic:spPr>
                            </pic:pic>
                          </a:graphicData>
                        </a:graphic>
                      </wp:inline>
                    </w:drawing>
                  </w:r>
                </w:p>
              </w:tc>
            </w:tr>
          </w:tbl>
          <w:p w14:paraId="100D144E" w14:textId="77777777" w:rsidR="00DB4649" w:rsidRPr="00B72DDB" w:rsidRDefault="00DB4649" w:rsidP="002805F7">
            <w:pPr>
              <w:spacing w:after="0" w:line="276" w:lineRule="auto"/>
              <w:rPr>
                <w:rFonts w:ascii="Arial" w:hAnsi="Arial" w:cs="Arial"/>
                <w:b/>
                <w:sz w:val="20"/>
              </w:rPr>
            </w:pPr>
          </w:p>
          <w:p w14:paraId="60D0AB42" w14:textId="77777777" w:rsidR="00DB4649" w:rsidRPr="00B72DDB" w:rsidRDefault="00DB4649" w:rsidP="002805F7">
            <w:pPr>
              <w:spacing w:after="0" w:line="276" w:lineRule="auto"/>
              <w:rPr>
                <w:rFonts w:ascii="Arial" w:hAnsi="Arial" w:cs="Arial"/>
                <w:b/>
                <w:sz w:val="20"/>
              </w:rPr>
            </w:pPr>
            <w:r w:rsidRPr="00B72DDB">
              <w:rPr>
                <w:rFonts w:ascii="Arial" w:hAnsi="Arial" w:cs="Arial"/>
                <w:b/>
                <w:sz w:val="20"/>
              </w:rPr>
              <w:t>2.2</w:t>
            </w:r>
            <w:r w:rsidRPr="00B72DDB">
              <w:rPr>
                <w:rFonts w:ascii="Arial" w:hAnsi="Arial" w:cs="Arial"/>
                <w:b/>
                <w:sz w:val="20"/>
              </w:rPr>
              <w:tab/>
              <w:t>Local defined outcomes</w:t>
            </w:r>
          </w:p>
          <w:p w14:paraId="790A735F" w14:textId="77777777" w:rsidR="0030195D" w:rsidRPr="00AE56DF" w:rsidRDefault="0030195D" w:rsidP="0030195D">
            <w:pPr>
              <w:spacing w:after="0" w:line="276" w:lineRule="auto"/>
              <w:rPr>
                <w:rFonts w:ascii="Arial" w:hAnsi="Arial" w:cs="Arial"/>
                <w:b/>
                <w:color w:val="00B050"/>
                <w:sz w:val="20"/>
              </w:rPr>
            </w:pPr>
          </w:p>
          <w:p w14:paraId="20F907C3" w14:textId="77777777" w:rsidR="0030195D" w:rsidRPr="00AE56DF" w:rsidRDefault="0030195D" w:rsidP="0030195D">
            <w:pPr>
              <w:spacing w:after="0"/>
              <w:ind w:right="57"/>
              <w:jc w:val="both"/>
              <w:rPr>
                <w:rFonts w:ascii="Arial" w:eastAsia="Arial" w:hAnsi="Arial" w:cs="Arial"/>
                <w:sz w:val="20"/>
                <w:lang w:val="en-GB"/>
              </w:rPr>
            </w:pPr>
            <w:r w:rsidRPr="00AE56DF">
              <w:rPr>
                <w:rFonts w:ascii="Arial" w:eastAsia="Arial" w:hAnsi="Arial" w:cs="Arial"/>
                <w:sz w:val="20"/>
                <w:lang w:val="en-GB"/>
              </w:rPr>
              <w:t>The pharmacy will provide urgent medicines under the ESS to suitable patients</w:t>
            </w:r>
          </w:p>
          <w:p w14:paraId="4046E249" w14:textId="77777777" w:rsidR="00DB4649" w:rsidRPr="00B72DDB" w:rsidRDefault="00DB4649" w:rsidP="002805F7">
            <w:pPr>
              <w:spacing w:after="0" w:line="276" w:lineRule="auto"/>
              <w:rPr>
                <w:rFonts w:ascii="Arial" w:hAnsi="Arial" w:cs="Arial"/>
                <w:b/>
                <w:sz w:val="20"/>
              </w:rPr>
            </w:pPr>
          </w:p>
          <w:p w14:paraId="7A63E627" w14:textId="77777777" w:rsidR="00DB4649" w:rsidRPr="00B72DDB" w:rsidRDefault="00DB4649" w:rsidP="002805F7">
            <w:pPr>
              <w:spacing w:after="0" w:line="276" w:lineRule="auto"/>
              <w:rPr>
                <w:rFonts w:ascii="Arial" w:hAnsi="Arial" w:cs="Arial"/>
                <w:b/>
                <w:sz w:val="20"/>
              </w:rPr>
            </w:pPr>
          </w:p>
        </w:tc>
      </w:tr>
      <w:tr w:rsidR="00DB4649" w:rsidRPr="00B72DDB" w14:paraId="1B89D602" w14:textId="77777777" w:rsidTr="002805F7">
        <w:tc>
          <w:tcPr>
            <w:tcW w:w="8414" w:type="dxa"/>
            <w:shd w:val="clear" w:color="auto" w:fill="auto"/>
          </w:tcPr>
          <w:p w14:paraId="3118B2A3" w14:textId="77777777" w:rsidR="00DB4649" w:rsidRPr="00B72DDB" w:rsidRDefault="00DB4649" w:rsidP="002805F7">
            <w:pPr>
              <w:spacing w:after="0" w:line="276" w:lineRule="auto"/>
              <w:rPr>
                <w:rFonts w:ascii="Arial" w:hAnsi="Arial" w:cs="Arial"/>
                <w:b/>
              </w:rPr>
            </w:pPr>
            <w:r w:rsidRPr="00B72DDB">
              <w:rPr>
                <w:rFonts w:ascii="Arial" w:hAnsi="Arial" w:cs="Arial"/>
                <w:b/>
              </w:rPr>
              <w:t>3.</w:t>
            </w:r>
            <w:r w:rsidRPr="00B72DDB">
              <w:rPr>
                <w:rFonts w:ascii="Arial" w:hAnsi="Arial" w:cs="Arial"/>
                <w:b/>
              </w:rPr>
              <w:tab/>
              <w:t>Scope</w:t>
            </w:r>
          </w:p>
        </w:tc>
      </w:tr>
      <w:tr w:rsidR="00DB4649" w:rsidRPr="00B72DDB" w14:paraId="154A892E" w14:textId="77777777" w:rsidTr="002805F7">
        <w:tc>
          <w:tcPr>
            <w:tcW w:w="8414" w:type="dxa"/>
            <w:shd w:val="clear" w:color="auto" w:fill="auto"/>
          </w:tcPr>
          <w:p w14:paraId="11E3C673" w14:textId="77777777" w:rsidR="00DB4649" w:rsidRPr="00B72DDB" w:rsidRDefault="00DB4649" w:rsidP="002805F7">
            <w:pPr>
              <w:spacing w:after="0"/>
              <w:rPr>
                <w:rFonts w:ascii="Arial" w:hAnsi="Arial" w:cs="Arial"/>
                <w:sz w:val="20"/>
              </w:rPr>
            </w:pPr>
          </w:p>
          <w:p w14:paraId="6A40D456" w14:textId="77777777" w:rsidR="00DB4649" w:rsidRPr="00B72DDB" w:rsidRDefault="00DB4649" w:rsidP="002805F7">
            <w:pPr>
              <w:spacing w:after="0"/>
              <w:rPr>
                <w:rFonts w:ascii="Arial" w:hAnsi="Arial" w:cs="Arial"/>
                <w:b/>
                <w:sz w:val="20"/>
              </w:rPr>
            </w:pPr>
            <w:r w:rsidRPr="00B72DDB">
              <w:rPr>
                <w:rFonts w:ascii="Arial" w:hAnsi="Arial" w:cs="Arial"/>
                <w:b/>
                <w:sz w:val="20"/>
              </w:rPr>
              <w:t>3.1</w:t>
            </w:r>
            <w:r w:rsidRPr="00B72DDB">
              <w:rPr>
                <w:rFonts w:ascii="Arial" w:hAnsi="Arial" w:cs="Arial"/>
                <w:b/>
                <w:sz w:val="20"/>
              </w:rPr>
              <w:tab/>
              <w:t>Aims and objectives of service</w:t>
            </w:r>
          </w:p>
          <w:p w14:paraId="280FA886" w14:textId="77777777" w:rsidR="0030195D" w:rsidRPr="00AE56DF" w:rsidRDefault="0030195D" w:rsidP="0030195D">
            <w:pPr>
              <w:spacing w:after="0"/>
              <w:rPr>
                <w:rFonts w:ascii="Arial" w:hAnsi="Arial" w:cs="Arial"/>
                <w:b/>
                <w:color w:val="009966"/>
                <w:sz w:val="20"/>
              </w:rPr>
            </w:pPr>
          </w:p>
          <w:p w14:paraId="7BC0D47F" w14:textId="77777777" w:rsidR="0030195D" w:rsidRPr="00AE56DF" w:rsidRDefault="0030195D" w:rsidP="0030195D">
            <w:pPr>
              <w:spacing w:after="0"/>
              <w:ind w:left="822" w:right="57"/>
              <w:jc w:val="both"/>
              <w:rPr>
                <w:rFonts w:ascii="Arial" w:eastAsia="Arial" w:hAnsi="Arial" w:cs="Arial"/>
                <w:sz w:val="20"/>
                <w:lang w:val="en-GB"/>
              </w:rPr>
            </w:pPr>
            <w:r w:rsidRPr="00AE56DF">
              <w:rPr>
                <w:rFonts w:ascii="Arial" w:eastAsia="Arial" w:hAnsi="Arial" w:cs="Arial"/>
                <w:sz w:val="20"/>
                <w:lang w:val="en-GB"/>
              </w:rPr>
              <w:t xml:space="preserve">The purpose of the Community Pharmacy Emergency Supply Service (formerly the Urgent Repeat Medicines Scheme) is to ensure that out of hours, patients can access an </w:t>
            </w:r>
            <w:r w:rsidRPr="00AE56DF">
              <w:rPr>
                <w:rFonts w:ascii="Arial" w:eastAsia="Arial" w:hAnsi="Arial" w:cs="Arial"/>
                <w:sz w:val="20"/>
                <w:u w:val="single"/>
                <w:lang w:val="en-GB"/>
              </w:rPr>
              <w:t>urgent supply</w:t>
            </w:r>
            <w:r w:rsidRPr="00AE56DF">
              <w:rPr>
                <w:rFonts w:ascii="Arial" w:eastAsia="Arial" w:hAnsi="Arial" w:cs="Arial"/>
                <w:sz w:val="20"/>
                <w:lang w:val="en-GB"/>
              </w:rPr>
              <w:t xml:space="preserve"> of their </w:t>
            </w:r>
            <w:r w:rsidRPr="00AE56DF">
              <w:rPr>
                <w:rFonts w:ascii="Arial" w:eastAsia="Arial" w:hAnsi="Arial" w:cs="Arial"/>
                <w:sz w:val="20"/>
                <w:u w:val="single"/>
                <w:lang w:val="en-GB"/>
              </w:rPr>
              <w:t>regular</w:t>
            </w:r>
            <w:r w:rsidRPr="00AE56DF">
              <w:rPr>
                <w:rFonts w:ascii="Arial" w:eastAsia="Arial" w:hAnsi="Arial" w:cs="Arial"/>
                <w:sz w:val="20"/>
                <w:lang w:val="en-GB"/>
              </w:rPr>
              <w:t xml:space="preserve"> prescription medicines where they are unable to obtain a prescription before they need to take their next dose. The service may be needed because the patient has run out of a medicine, or because they have lost or damaged their medicines, or because they have left home without them. The aim of this service is to relieve pressure on the out-of-hours provider, and general practitioner appointments at times of high demand, </w:t>
            </w:r>
            <w:proofErr w:type="spellStart"/>
            <w:r w:rsidRPr="00AE56DF">
              <w:rPr>
                <w:rFonts w:ascii="Arial" w:eastAsia="Arial" w:hAnsi="Arial" w:cs="Arial"/>
                <w:sz w:val="20"/>
                <w:lang w:val="en-GB"/>
              </w:rPr>
              <w:t>e.g</w:t>
            </w:r>
            <w:proofErr w:type="spellEnd"/>
            <w:r w:rsidRPr="00AE56DF">
              <w:rPr>
                <w:rFonts w:ascii="Arial" w:eastAsia="Arial" w:hAnsi="Arial" w:cs="Arial"/>
                <w:sz w:val="20"/>
                <w:lang w:val="en-GB"/>
              </w:rPr>
              <w:t xml:space="preserve"> during in-hours extensions.</w:t>
            </w:r>
          </w:p>
          <w:p w14:paraId="2FA518B4" w14:textId="77777777" w:rsidR="0030195D" w:rsidRPr="00AE56DF" w:rsidRDefault="0030195D" w:rsidP="0030195D">
            <w:pPr>
              <w:spacing w:after="0"/>
              <w:ind w:left="822" w:right="57"/>
              <w:jc w:val="both"/>
              <w:rPr>
                <w:rFonts w:ascii="Arial" w:eastAsia="Arial" w:hAnsi="Arial" w:cs="Arial"/>
                <w:sz w:val="20"/>
                <w:lang w:val="en-GB"/>
              </w:rPr>
            </w:pPr>
          </w:p>
          <w:p w14:paraId="6BB181F0" w14:textId="77777777" w:rsidR="0030195D" w:rsidRPr="00AE56DF" w:rsidRDefault="0030195D" w:rsidP="0030195D">
            <w:pPr>
              <w:spacing w:after="0"/>
              <w:ind w:left="822" w:right="57"/>
              <w:jc w:val="both"/>
              <w:rPr>
                <w:rFonts w:ascii="Arial" w:eastAsia="Arial" w:hAnsi="Arial" w:cs="Arial"/>
                <w:sz w:val="20"/>
                <w:lang w:val="en-GB"/>
              </w:rPr>
            </w:pPr>
            <w:r w:rsidRPr="00AE56DF">
              <w:rPr>
                <w:rFonts w:ascii="Arial" w:eastAsia="Arial" w:hAnsi="Arial" w:cs="Arial"/>
                <w:sz w:val="20"/>
                <w:lang w:val="en-GB"/>
              </w:rPr>
              <w:t xml:space="preserve">In an emergency, a pharmacist can supply prescription only medicines (POMs) to a patient (who has previously been prescribed the requested POM) without a prescription at the request of the patient. This emergency supply is not an NHS service and patients may therefore be asked to pay the cost of the medicine. This can lead to some patients seeking supplies or emergency prescriptions from urgent or emergency care providers. </w:t>
            </w:r>
            <w:r w:rsidRPr="00AE56DF">
              <w:rPr>
                <w:rFonts w:ascii="Arial" w:eastAsia="Arial" w:hAnsi="Arial" w:cs="Arial"/>
                <w:sz w:val="20"/>
                <w:u w:val="single"/>
                <w:lang w:val="en-GB"/>
              </w:rPr>
              <w:t>This service will allow the supply of a medicine out of hours at NHS expense where the pharmacist deems that the patient has immediate need for the medicine and that it is impractical to obtain a prescription without undue delay</w:t>
            </w:r>
            <w:r w:rsidRPr="00AE56DF">
              <w:rPr>
                <w:rFonts w:ascii="Arial" w:eastAsia="Arial" w:hAnsi="Arial" w:cs="Arial"/>
                <w:sz w:val="20"/>
                <w:lang w:val="en-GB"/>
              </w:rPr>
              <w:t>.</w:t>
            </w:r>
          </w:p>
          <w:p w14:paraId="13D2B825" w14:textId="77777777" w:rsidR="0030195D" w:rsidRPr="00AE56DF" w:rsidRDefault="0030195D" w:rsidP="0030195D">
            <w:pPr>
              <w:spacing w:after="0"/>
              <w:ind w:left="822" w:right="57"/>
              <w:jc w:val="both"/>
              <w:rPr>
                <w:rFonts w:ascii="Arial" w:eastAsia="Arial" w:hAnsi="Arial" w:cs="Arial"/>
                <w:sz w:val="20"/>
                <w:lang w:val="en-GB"/>
              </w:rPr>
            </w:pPr>
          </w:p>
          <w:p w14:paraId="15EF22E9" w14:textId="77777777" w:rsidR="0030195D" w:rsidRPr="00AE56DF" w:rsidRDefault="0030195D" w:rsidP="0030195D">
            <w:pPr>
              <w:spacing w:after="0"/>
              <w:ind w:left="822" w:right="57"/>
              <w:jc w:val="both"/>
              <w:rPr>
                <w:rFonts w:ascii="Arial" w:eastAsia="Arial" w:hAnsi="Arial" w:cs="Arial"/>
                <w:sz w:val="20"/>
                <w:lang w:val="en-GB"/>
              </w:rPr>
            </w:pPr>
            <w:r w:rsidRPr="00AE56DF">
              <w:rPr>
                <w:rFonts w:ascii="Arial" w:eastAsia="Arial" w:hAnsi="Arial" w:cs="Arial"/>
                <w:sz w:val="20"/>
                <w:lang w:val="en-GB"/>
              </w:rPr>
              <w:t xml:space="preserve">This service is commissioned </w:t>
            </w:r>
            <w:r w:rsidRPr="00AE56DF">
              <w:rPr>
                <w:rFonts w:ascii="Arial" w:hAnsi="Arial" w:cs="Arial"/>
                <w:sz w:val="20"/>
              </w:rPr>
              <w:t>using the provisions within the Human Medicines Regulations 2012 which allow pharmacists to make emergency supplies, subject to certain conditions</w:t>
            </w:r>
            <w:r w:rsidRPr="00AE56DF">
              <w:rPr>
                <w:rFonts w:ascii="Arial" w:eastAsia="Arial" w:hAnsi="Arial" w:cs="Arial"/>
                <w:sz w:val="20"/>
                <w:lang w:val="en-GB"/>
              </w:rPr>
              <w:t>.</w:t>
            </w:r>
          </w:p>
          <w:p w14:paraId="121AF25B" w14:textId="77777777" w:rsidR="0030195D" w:rsidRPr="00AE56DF" w:rsidRDefault="0030195D" w:rsidP="0030195D">
            <w:pPr>
              <w:spacing w:after="0"/>
              <w:rPr>
                <w:rFonts w:ascii="Arial" w:hAnsi="Arial" w:cs="Arial"/>
                <w:color w:val="009966"/>
                <w:sz w:val="20"/>
              </w:rPr>
            </w:pPr>
          </w:p>
          <w:p w14:paraId="541EC7AD" w14:textId="77777777" w:rsidR="00DB4649" w:rsidRPr="00B72DDB" w:rsidRDefault="00DB4649" w:rsidP="002805F7">
            <w:pPr>
              <w:spacing w:after="0"/>
              <w:rPr>
                <w:rFonts w:ascii="Arial" w:hAnsi="Arial" w:cs="Arial"/>
                <w:sz w:val="20"/>
              </w:rPr>
            </w:pPr>
          </w:p>
          <w:p w14:paraId="3BDF08EC" w14:textId="77777777" w:rsidR="00DB4649" w:rsidRPr="00B72DDB" w:rsidRDefault="00DB4649" w:rsidP="002805F7">
            <w:pPr>
              <w:spacing w:after="0"/>
              <w:rPr>
                <w:rFonts w:ascii="Arial" w:hAnsi="Arial" w:cs="Arial"/>
                <w:sz w:val="20"/>
              </w:rPr>
            </w:pPr>
          </w:p>
          <w:p w14:paraId="76660DBD" w14:textId="77777777" w:rsidR="00DB4649" w:rsidRPr="00B72DDB" w:rsidRDefault="00DB4649" w:rsidP="002805F7">
            <w:pPr>
              <w:spacing w:after="0"/>
              <w:rPr>
                <w:rFonts w:ascii="Arial" w:hAnsi="Arial" w:cs="Arial"/>
                <w:b/>
                <w:sz w:val="20"/>
              </w:rPr>
            </w:pPr>
            <w:r w:rsidRPr="00B72DDB">
              <w:rPr>
                <w:rFonts w:ascii="Arial" w:hAnsi="Arial" w:cs="Arial"/>
                <w:b/>
                <w:sz w:val="20"/>
              </w:rPr>
              <w:t>3.2</w:t>
            </w:r>
            <w:r w:rsidRPr="00B72DDB">
              <w:rPr>
                <w:rFonts w:ascii="Arial" w:hAnsi="Arial" w:cs="Arial"/>
                <w:b/>
                <w:sz w:val="20"/>
              </w:rPr>
              <w:tab/>
              <w:t>Service description/care pathway</w:t>
            </w:r>
          </w:p>
          <w:p w14:paraId="5DC9CDC0" w14:textId="77777777" w:rsidR="0030195D" w:rsidRPr="00AE56DF" w:rsidRDefault="0030195D" w:rsidP="0030195D">
            <w:pPr>
              <w:spacing w:after="0"/>
              <w:jc w:val="both"/>
              <w:rPr>
                <w:rFonts w:ascii="Arial" w:hAnsi="Arial" w:cs="Arial"/>
                <w:sz w:val="20"/>
              </w:rPr>
            </w:pPr>
          </w:p>
          <w:p w14:paraId="21E7281A"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 xml:space="preserve">The Community Pharmacy Emergency Supply Service allows the emergency supply of a patient’s medicine out of hours at NHS expense </w:t>
            </w:r>
            <w:proofErr w:type="gramStart"/>
            <w:r w:rsidRPr="00AE56DF">
              <w:rPr>
                <w:rFonts w:ascii="Arial" w:hAnsi="Arial" w:cs="Arial"/>
                <w:sz w:val="20"/>
              </w:rPr>
              <w:t>in order to</w:t>
            </w:r>
            <w:proofErr w:type="gramEnd"/>
            <w:r w:rsidRPr="00AE56DF">
              <w:rPr>
                <w:rFonts w:ascii="Arial" w:hAnsi="Arial" w:cs="Arial"/>
                <w:sz w:val="20"/>
              </w:rPr>
              <w:t xml:space="preserve"> reduce the number of patients contacting urgent and emergency care providers. This may include both prescription-only and other medicines usually obtained on prescription by the patient from their GP (See Exemptions below).</w:t>
            </w:r>
            <w:r>
              <w:rPr>
                <w:rFonts w:ascii="Arial" w:hAnsi="Arial" w:cs="Arial"/>
                <w:sz w:val="20"/>
              </w:rPr>
              <w:t xml:space="preserve"> The emergency medicine provisions scheme permits the supply of sufficient quantities of most prescription only medicines. The scheme permits supplies for up to 5 day for residents and 2 weeks for visitors.  Exceptions apply for inhalers, creams/</w:t>
            </w:r>
            <w:proofErr w:type="gramStart"/>
            <w:r>
              <w:rPr>
                <w:rFonts w:ascii="Arial" w:hAnsi="Arial" w:cs="Arial"/>
                <w:sz w:val="20"/>
              </w:rPr>
              <w:t>ointments</w:t>
            </w:r>
            <w:proofErr w:type="gramEnd"/>
            <w:r>
              <w:rPr>
                <w:rFonts w:ascii="Arial" w:hAnsi="Arial" w:cs="Arial"/>
                <w:sz w:val="20"/>
              </w:rPr>
              <w:t xml:space="preserve"> and oral contraceptives where manufacturers’ packaging dictates a minimum supply. </w:t>
            </w:r>
            <w:r w:rsidRPr="00AE56DF">
              <w:rPr>
                <w:rFonts w:ascii="Arial" w:hAnsi="Arial" w:cs="Arial"/>
                <w:sz w:val="20"/>
              </w:rPr>
              <w:t>Schedule 1, 2 or 3 Controlled Drugs (except phenobarbitone or phenobarbitone sodium for epilepsy) cannot be supplied in an emergency.</w:t>
            </w:r>
          </w:p>
          <w:p w14:paraId="3BFA2FC2" w14:textId="77777777" w:rsidR="0030195D" w:rsidRPr="00AE56DF" w:rsidRDefault="0030195D" w:rsidP="0030195D">
            <w:pPr>
              <w:spacing w:after="0"/>
              <w:ind w:left="743"/>
              <w:jc w:val="both"/>
              <w:rPr>
                <w:rFonts w:ascii="Arial" w:hAnsi="Arial" w:cs="Arial"/>
                <w:sz w:val="20"/>
              </w:rPr>
            </w:pPr>
          </w:p>
          <w:p w14:paraId="0806F5CE"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Medicines excluded from the Emergency Supply Service</w:t>
            </w:r>
          </w:p>
          <w:p w14:paraId="0E108886" w14:textId="77777777" w:rsidR="0030195D" w:rsidRPr="00AE56DF" w:rsidRDefault="0030195D" w:rsidP="0030195D">
            <w:pPr>
              <w:spacing w:after="0"/>
              <w:ind w:left="743"/>
              <w:jc w:val="both"/>
              <w:rPr>
                <w:rFonts w:ascii="Arial" w:hAnsi="Arial" w:cs="Arial"/>
                <w:sz w:val="20"/>
              </w:rPr>
            </w:pPr>
          </w:p>
          <w:p w14:paraId="2B52485C" w14:textId="77777777" w:rsidR="0030195D" w:rsidRDefault="0030195D" w:rsidP="0030195D">
            <w:pPr>
              <w:pStyle w:val="ListParagraph"/>
              <w:numPr>
                <w:ilvl w:val="0"/>
                <w:numId w:val="3"/>
              </w:numPr>
              <w:jc w:val="both"/>
              <w:rPr>
                <w:rFonts w:ascii="Arial" w:hAnsi="Arial" w:cs="Arial"/>
                <w:sz w:val="20"/>
                <w:szCs w:val="20"/>
              </w:rPr>
            </w:pPr>
            <w:r w:rsidRPr="00AE56DF">
              <w:rPr>
                <w:rFonts w:ascii="Arial" w:hAnsi="Arial" w:cs="Arial"/>
                <w:sz w:val="20"/>
                <w:szCs w:val="20"/>
              </w:rPr>
              <w:t>All Schedule 1, 2 or 3 Controlled Drugs including temazepam and tramadol (except phenobarbitone for epilepsy)</w:t>
            </w:r>
          </w:p>
          <w:p w14:paraId="0EAEB66F" w14:textId="77777777" w:rsidR="0030195D" w:rsidRPr="00AE56DF" w:rsidRDefault="0030195D" w:rsidP="0030195D">
            <w:pPr>
              <w:pStyle w:val="ListParagraph"/>
              <w:numPr>
                <w:ilvl w:val="0"/>
                <w:numId w:val="3"/>
              </w:numPr>
              <w:jc w:val="both"/>
              <w:rPr>
                <w:rFonts w:ascii="Arial" w:hAnsi="Arial" w:cs="Arial"/>
                <w:sz w:val="20"/>
                <w:szCs w:val="20"/>
              </w:rPr>
            </w:pPr>
            <w:r>
              <w:rPr>
                <w:rFonts w:ascii="Arial" w:hAnsi="Arial" w:cs="Arial"/>
                <w:sz w:val="20"/>
                <w:szCs w:val="20"/>
              </w:rPr>
              <w:t xml:space="preserve">No more than 100 </w:t>
            </w:r>
            <w:proofErr w:type="spellStart"/>
            <w:r>
              <w:rPr>
                <w:rFonts w:ascii="Arial" w:hAnsi="Arial" w:cs="Arial"/>
                <w:sz w:val="20"/>
                <w:szCs w:val="20"/>
              </w:rPr>
              <w:t>mls</w:t>
            </w:r>
            <w:proofErr w:type="spellEnd"/>
            <w:r>
              <w:rPr>
                <w:rFonts w:ascii="Arial" w:hAnsi="Arial" w:cs="Arial"/>
                <w:sz w:val="20"/>
                <w:szCs w:val="20"/>
              </w:rPr>
              <w:t xml:space="preserve"> Oramorph 10 mg/5ml for break through pain</w:t>
            </w:r>
          </w:p>
          <w:p w14:paraId="5F997EF6" w14:textId="77777777" w:rsidR="0030195D" w:rsidRPr="00AE56DF" w:rsidRDefault="0030195D" w:rsidP="0030195D">
            <w:pPr>
              <w:pStyle w:val="ListParagraph"/>
              <w:numPr>
                <w:ilvl w:val="0"/>
                <w:numId w:val="3"/>
              </w:numPr>
              <w:jc w:val="both"/>
              <w:rPr>
                <w:rFonts w:ascii="Arial" w:hAnsi="Arial" w:cs="Arial"/>
                <w:sz w:val="20"/>
                <w:szCs w:val="20"/>
              </w:rPr>
            </w:pPr>
            <w:r w:rsidRPr="00AE56DF">
              <w:rPr>
                <w:rFonts w:ascii="Arial" w:hAnsi="Arial" w:cs="Arial"/>
                <w:sz w:val="20"/>
                <w:szCs w:val="20"/>
              </w:rPr>
              <w:t>Unlicensed Specials</w:t>
            </w:r>
          </w:p>
          <w:p w14:paraId="1EA89DE1" w14:textId="77777777" w:rsidR="0030195D" w:rsidRPr="00AE56DF" w:rsidRDefault="0030195D" w:rsidP="0030195D">
            <w:pPr>
              <w:pStyle w:val="ListParagraph"/>
              <w:numPr>
                <w:ilvl w:val="0"/>
                <w:numId w:val="3"/>
              </w:numPr>
              <w:jc w:val="both"/>
              <w:rPr>
                <w:rFonts w:ascii="Arial" w:hAnsi="Arial" w:cs="Arial"/>
                <w:sz w:val="20"/>
                <w:szCs w:val="20"/>
              </w:rPr>
            </w:pPr>
            <w:r w:rsidRPr="00AE56DF">
              <w:rPr>
                <w:rFonts w:ascii="Arial" w:hAnsi="Arial" w:cs="Arial"/>
                <w:sz w:val="20"/>
                <w:szCs w:val="20"/>
              </w:rPr>
              <w:t xml:space="preserve">Drugs designated as Hospital-Only on either the Cornwall Area Joint Formulary or South and West Devon Joint Formulary. These drugs are routinely prescribed by secondary care and can often be specialist and </w:t>
            </w:r>
            <w:proofErr w:type="gramStart"/>
            <w:r w:rsidRPr="00AE56DF">
              <w:rPr>
                <w:rFonts w:ascii="Arial" w:hAnsi="Arial" w:cs="Arial"/>
                <w:sz w:val="20"/>
                <w:szCs w:val="20"/>
              </w:rPr>
              <w:t>high-cost</w:t>
            </w:r>
            <w:proofErr w:type="gramEnd"/>
            <w:r w:rsidRPr="00AE56DF">
              <w:rPr>
                <w:rFonts w:ascii="Arial" w:hAnsi="Arial" w:cs="Arial"/>
                <w:sz w:val="20"/>
                <w:szCs w:val="20"/>
              </w:rPr>
              <w:t>.</w:t>
            </w:r>
          </w:p>
          <w:p w14:paraId="45BD738A" w14:textId="77777777" w:rsidR="0030195D" w:rsidRPr="00AE56DF" w:rsidRDefault="0030195D" w:rsidP="0030195D">
            <w:pPr>
              <w:pStyle w:val="ListParagraph"/>
              <w:numPr>
                <w:ilvl w:val="0"/>
                <w:numId w:val="3"/>
              </w:numPr>
              <w:jc w:val="both"/>
              <w:rPr>
                <w:rFonts w:ascii="Arial" w:hAnsi="Arial" w:cs="Arial"/>
                <w:sz w:val="20"/>
                <w:szCs w:val="20"/>
              </w:rPr>
            </w:pPr>
            <w:r w:rsidRPr="00AE56DF">
              <w:rPr>
                <w:rFonts w:ascii="Arial" w:hAnsi="Arial" w:cs="Arial"/>
                <w:sz w:val="20"/>
                <w:szCs w:val="20"/>
              </w:rPr>
              <w:t xml:space="preserve">All injections and infusions (except adrenaline auto-injectors, </w:t>
            </w:r>
            <w:proofErr w:type="gramStart"/>
            <w:r w:rsidRPr="00AE56DF">
              <w:rPr>
                <w:rFonts w:ascii="Arial" w:hAnsi="Arial" w:cs="Arial"/>
                <w:sz w:val="20"/>
                <w:szCs w:val="20"/>
              </w:rPr>
              <w:t>e.g.</w:t>
            </w:r>
            <w:proofErr w:type="gramEnd"/>
            <w:r w:rsidRPr="00AE56DF">
              <w:rPr>
                <w:rFonts w:ascii="Arial" w:hAnsi="Arial" w:cs="Arial"/>
                <w:sz w:val="20"/>
                <w:szCs w:val="20"/>
              </w:rPr>
              <w:t xml:space="preserve"> </w:t>
            </w:r>
            <w:proofErr w:type="spellStart"/>
            <w:r w:rsidRPr="00AE56DF">
              <w:rPr>
                <w:rFonts w:ascii="Arial" w:hAnsi="Arial" w:cs="Arial"/>
                <w:sz w:val="20"/>
                <w:szCs w:val="20"/>
              </w:rPr>
              <w:t>Epipen</w:t>
            </w:r>
            <w:proofErr w:type="spellEnd"/>
            <w:r w:rsidRPr="00AE56DF">
              <w:rPr>
                <w:rFonts w:ascii="Arial" w:hAnsi="Arial" w:cs="Arial"/>
                <w:sz w:val="20"/>
                <w:szCs w:val="20"/>
              </w:rPr>
              <w:t xml:space="preserve"> or diabetic products, e.g. insulins)</w:t>
            </w:r>
          </w:p>
          <w:p w14:paraId="100654D2" w14:textId="77777777" w:rsidR="0030195D" w:rsidRDefault="0030195D" w:rsidP="0030195D">
            <w:pPr>
              <w:pStyle w:val="ListParagraph"/>
              <w:numPr>
                <w:ilvl w:val="0"/>
                <w:numId w:val="3"/>
              </w:numPr>
              <w:jc w:val="both"/>
              <w:rPr>
                <w:rFonts w:ascii="Arial" w:hAnsi="Arial" w:cs="Arial"/>
                <w:sz w:val="20"/>
                <w:szCs w:val="20"/>
              </w:rPr>
            </w:pPr>
            <w:r w:rsidRPr="00AE56DF">
              <w:rPr>
                <w:rFonts w:ascii="Arial" w:hAnsi="Arial" w:cs="Arial"/>
                <w:sz w:val="20"/>
                <w:szCs w:val="20"/>
              </w:rPr>
              <w:t>Immunological products and vaccines</w:t>
            </w:r>
          </w:p>
          <w:p w14:paraId="5DF0AE0A" w14:textId="77777777" w:rsidR="0030195D" w:rsidRPr="00AE56DF" w:rsidRDefault="0030195D" w:rsidP="0030195D">
            <w:pPr>
              <w:pStyle w:val="ListParagraph"/>
              <w:numPr>
                <w:ilvl w:val="0"/>
                <w:numId w:val="3"/>
              </w:numPr>
              <w:jc w:val="both"/>
              <w:rPr>
                <w:rFonts w:ascii="Arial" w:hAnsi="Arial" w:cs="Arial"/>
                <w:sz w:val="20"/>
                <w:szCs w:val="20"/>
              </w:rPr>
            </w:pPr>
            <w:r>
              <w:rPr>
                <w:rFonts w:ascii="Arial" w:hAnsi="Arial" w:cs="Arial"/>
                <w:sz w:val="20"/>
                <w:szCs w:val="20"/>
              </w:rPr>
              <w:t>We would not expect GSL medicines to be supplied as an emergency supply</w:t>
            </w:r>
          </w:p>
          <w:p w14:paraId="7551A6D9" w14:textId="77777777" w:rsidR="0030195D" w:rsidRPr="00AE56DF" w:rsidRDefault="0030195D" w:rsidP="0030195D">
            <w:pPr>
              <w:spacing w:after="0"/>
              <w:ind w:left="743"/>
              <w:jc w:val="both"/>
              <w:rPr>
                <w:rFonts w:ascii="Arial" w:hAnsi="Arial" w:cs="Arial"/>
                <w:sz w:val="20"/>
              </w:rPr>
            </w:pPr>
          </w:p>
          <w:p w14:paraId="587ABE47"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Joint Formularies</w:t>
            </w:r>
          </w:p>
          <w:p w14:paraId="77E295E9" w14:textId="77777777" w:rsidR="0030195D" w:rsidRPr="00AE56DF" w:rsidRDefault="0030195D" w:rsidP="0030195D">
            <w:pPr>
              <w:spacing w:after="0"/>
              <w:ind w:left="743"/>
              <w:jc w:val="both"/>
              <w:rPr>
                <w:rFonts w:ascii="Arial" w:hAnsi="Arial" w:cs="Arial"/>
                <w:sz w:val="20"/>
              </w:rPr>
            </w:pPr>
          </w:p>
          <w:p w14:paraId="4A9E0FF8" w14:textId="77777777" w:rsidR="0030195D" w:rsidRPr="00AE56DF" w:rsidRDefault="0030195D" w:rsidP="0030195D">
            <w:pPr>
              <w:spacing w:after="0"/>
              <w:ind w:left="743"/>
              <w:jc w:val="both"/>
              <w:rPr>
                <w:rFonts w:ascii="Arial" w:hAnsi="Arial" w:cs="Arial"/>
                <w:sz w:val="20"/>
              </w:rPr>
            </w:pPr>
            <w:hyperlink r:id="rId7" w:history="1">
              <w:r w:rsidRPr="00AE56DF">
                <w:rPr>
                  <w:rStyle w:val="Hyperlink"/>
                  <w:rFonts w:ascii="Arial" w:hAnsi="Arial" w:cs="Arial"/>
                  <w:sz w:val="20"/>
                </w:rPr>
                <w:t>https://www.eclipsesolutions.org/CORNWALL/</w:t>
              </w:r>
            </w:hyperlink>
          </w:p>
          <w:p w14:paraId="2CD76E8B" w14:textId="77777777" w:rsidR="0030195D" w:rsidRPr="00AE56DF" w:rsidRDefault="0030195D" w:rsidP="0030195D">
            <w:pPr>
              <w:spacing w:after="0"/>
              <w:ind w:left="743"/>
              <w:jc w:val="both"/>
              <w:rPr>
                <w:rFonts w:ascii="Arial" w:hAnsi="Arial" w:cs="Arial"/>
                <w:sz w:val="20"/>
              </w:rPr>
            </w:pPr>
          </w:p>
          <w:p w14:paraId="5FB88EFB" w14:textId="77777777" w:rsidR="0030195D" w:rsidRPr="00AE56DF" w:rsidRDefault="0030195D" w:rsidP="0030195D">
            <w:pPr>
              <w:spacing w:after="0"/>
              <w:ind w:left="743"/>
              <w:jc w:val="both"/>
              <w:rPr>
                <w:rFonts w:ascii="Arial" w:hAnsi="Arial" w:cs="Arial"/>
                <w:sz w:val="20"/>
              </w:rPr>
            </w:pPr>
            <w:hyperlink r:id="rId8" w:history="1">
              <w:r w:rsidRPr="00AE56DF">
                <w:rPr>
                  <w:rStyle w:val="Hyperlink"/>
                  <w:rFonts w:ascii="Arial" w:hAnsi="Arial" w:cs="Arial"/>
                  <w:sz w:val="20"/>
                </w:rPr>
                <w:t>http://southwest.devonformularyguidance.nhs.uk/</w:t>
              </w:r>
            </w:hyperlink>
          </w:p>
          <w:p w14:paraId="46520DC6" w14:textId="77777777" w:rsidR="0030195D" w:rsidRPr="00AE56DF" w:rsidRDefault="0030195D" w:rsidP="0030195D">
            <w:pPr>
              <w:spacing w:after="0"/>
              <w:ind w:left="743"/>
              <w:jc w:val="both"/>
              <w:rPr>
                <w:rFonts w:ascii="Arial" w:hAnsi="Arial" w:cs="Arial"/>
                <w:sz w:val="20"/>
              </w:rPr>
            </w:pPr>
          </w:p>
          <w:p w14:paraId="54E72F8F"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Service description</w:t>
            </w:r>
          </w:p>
          <w:p w14:paraId="4418577E" w14:textId="77777777" w:rsidR="0030195D" w:rsidRPr="00AE56DF" w:rsidRDefault="0030195D" w:rsidP="0030195D">
            <w:pPr>
              <w:spacing w:after="0"/>
              <w:ind w:left="743"/>
              <w:jc w:val="both"/>
              <w:rPr>
                <w:rFonts w:ascii="Arial" w:hAnsi="Arial" w:cs="Arial"/>
                <w:sz w:val="20"/>
              </w:rPr>
            </w:pPr>
          </w:p>
          <w:p w14:paraId="74E14EBE"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The pharmacist will at the request of a patient (or in pandemic situations, a representative of a patient), assess whether there is an urgent need for their medicine, in circumstances where it is impracticable for the patient to obtain a prescription before the next dose is due.</w:t>
            </w:r>
          </w:p>
          <w:p w14:paraId="0296C44A" w14:textId="77777777" w:rsidR="0030195D" w:rsidRPr="00AE56DF" w:rsidRDefault="0030195D" w:rsidP="0030195D">
            <w:pPr>
              <w:spacing w:after="0"/>
              <w:ind w:left="743"/>
              <w:jc w:val="both"/>
              <w:rPr>
                <w:rFonts w:ascii="Arial" w:hAnsi="Arial" w:cs="Arial"/>
                <w:sz w:val="20"/>
              </w:rPr>
            </w:pPr>
          </w:p>
          <w:p w14:paraId="6CF508B2"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lastRenderedPageBreak/>
              <w:t>If an emergency supply is necessary, the pharmacist shall make a supply, in accordance with the Human Medicines Regulations 2012 maintaining a record of the supply and labelling the container appropriately.</w:t>
            </w:r>
          </w:p>
          <w:p w14:paraId="0F5B8F41" w14:textId="77777777" w:rsidR="0030195D" w:rsidRPr="00AE56DF" w:rsidRDefault="0030195D" w:rsidP="0030195D">
            <w:pPr>
              <w:spacing w:after="0"/>
              <w:ind w:left="743"/>
              <w:jc w:val="both"/>
              <w:rPr>
                <w:rFonts w:ascii="Arial" w:hAnsi="Arial" w:cs="Arial"/>
                <w:sz w:val="20"/>
              </w:rPr>
            </w:pPr>
          </w:p>
          <w:p w14:paraId="46935B19" w14:textId="77777777" w:rsidR="0030195D" w:rsidRDefault="0030195D" w:rsidP="0030195D">
            <w:pPr>
              <w:spacing w:after="0"/>
              <w:ind w:left="743"/>
              <w:jc w:val="both"/>
              <w:rPr>
                <w:rFonts w:ascii="Arial" w:hAnsi="Arial" w:cs="Arial"/>
                <w:sz w:val="20"/>
              </w:rPr>
            </w:pPr>
            <w:r w:rsidRPr="00AE56DF">
              <w:rPr>
                <w:rFonts w:ascii="Arial" w:hAnsi="Arial" w:cs="Arial"/>
                <w:sz w:val="20"/>
              </w:rPr>
              <w:t>A record of the supply will additionally be made</w:t>
            </w:r>
            <w:r>
              <w:rPr>
                <w:rFonts w:ascii="Arial" w:hAnsi="Arial" w:cs="Arial"/>
                <w:sz w:val="20"/>
              </w:rPr>
              <w:t xml:space="preserve"> by the Pharm outcomes IT system provided by NHS </w:t>
            </w:r>
            <w:proofErr w:type="spellStart"/>
            <w:r>
              <w:rPr>
                <w:rFonts w:ascii="Arial" w:hAnsi="Arial" w:cs="Arial"/>
                <w:sz w:val="20"/>
              </w:rPr>
              <w:t>Kernow</w:t>
            </w:r>
            <w:proofErr w:type="spellEnd"/>
            <w:r>
              <w:rPr>
                <w:rFonts w:ascii="Arial" w:hAnsi="Arial" w:cs="Arial"/>
                <w:sz w:val="20"/>
              </w:rPr>
              <w:t>.  A copy of the record will be sent to the patient’s general practitioner either by automatic email, or paper copy if that fails to send.</w:t>
            </w:r>
          </w:p>
          <w:p w14:paraId="1E1AA78C" w14:textId="77777777" w:rsidR="0030195D" w:rsidRPr="00AE56DF" w:rsidRDefault="0030195D" w:rsidP="0030195D">
            <w:pPr>
              <w:spacing w:after="0"/>
              <w:ind w:left="743"/>
              <w:jc w:val="both"/>
              <w:rPr>
                <w:rFonts w:ascii="Arial" w:hAnsi="Arial" w:cs="Arial"/>
                <w:sz w:val="20"/>
              </w:rPr>
            </w:pPr>
          </w:p>
          <w:p w14:paraId="7F9A7B0D"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Aims and intended service outcomes</w:t>
            </w:r>
          </w:p>
          <w:p w14:paraId="646F8FB7" w14:textId="77777777" w:rsidR="0030195D" w:rsidRPr="00AE56DF" w:rsidRDefault="0030195D" w:rsidP="0030195D">
            <w:pPr>
              <w:spacing w:after="0"/>
              <w:ind w:left="743"/>
              <w:jc w:val="both"/>
              <w:rPr>
                <w:rFonts w:ascii="Arial" w:hAnsi="Arial" w:cs="Arial"/>
                <w:sz w:val="20"/>
              </w:rPr>
            </w:pPr>
          </w:p>
          <w:p w14:paraId="26E95233" w14:textId="77777777" w:rsidR="0030195D" w:rsidRPr="00AE56DF" w:rsidRDefault="0030195D" w:rsidP="0030195D">
            <w:pPr>
              <w:pStyle w:val="ListParagraph"/>
              <w:numPr>
                <w:ilvl w:val="0"/>
                <w:numId w:val="4"/>
              </w:numPr>
              <w:jc w:val="both"/>
              <w:rPr>
                <w:rFonts w:ascii="Arial" w:hAnsi="Arial" w:cs="Arial"/>
                <w:sz w:val="20"/>
                <w:szCs w:val="20"/>
              </w:rPr>
            </w:pPr>
            <w:r w:rsidRPr="00AE56DF">
              <w:rPr>
                <w:rFonts w:ascii="Arial" w:hAnsi="Arial" w:cs="Arial"/>
                <w:sz w:val="20"/>
                <w:szCs w:val="20"/>
              </w:rPr>
              <w:t>To ensure timely access to medicines for all patients out of hours in emergency situations, where it is not practicable to obtain a prescription.</w:t>
            </w:r>
          </w:p>
          <w:p w14:paraId="60032586" w14:textId="77777777" w:rsidR="0030195D" w:rsidRPr="00AE56DF" w:rsidRDefault="0030195D" w:rsidP="0030195D">
            <w:pPr>
              <w:pStyle w:val="ListParagraph"/>
              <w:numPr>
                <w:ilvl w:val="0"/>
                <w:numId w:val="4"/>
              </w:numPr>
              <w:jc w:val="both"/>
              <w:rPr>
                <w:rFonts w:ascii="Arial" w:hAnsi="Arial" w:cs="Arial"/>
                <w:sz w:val="20"/>
                <w:szCs w:val="20"/>
              </w:rPr>
            </w:pPr>
            <w:r w:rsidRPr="00AE56DF">
              <w:rPr>
                <w:rFonts w:ascii="Arial" w:hAnsi="Arial" w:cs="Arial"/>
                <w:sz w:val="20"/>
                <w:szCs w:val="20"/>
              </w:rPr>
              <w:t>To ensure equity of access to the emergency supply provision irrespective of the patient’s ability to pay.</w:t>
            </w:r>
          </w:p>
          <w:p w14:paraId="73C36BF4" w14:textId="77777777" w:rsidR="0030195D" w:rsidRPr="00AE56DF" w:rsidRDefault="0030195D" w:rsidP="0030195D">
            <w:pPr>
              <w:spacing w:after="0"/>
              <w:ind w:left="743"/>
              <w:jc w:val="both"/>
              <w:rPr>
                <w:rFonts w:ascii="Arial" w:hAnsi="Arial" w:cs="Arial"/>
                <w:sz w:val="20"/>
              </w:rPr>
            </w:pPr>
          </w:p>
          <w:p w14:paraId="2B116D86"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Service outline</w:t>
            </w:r>
          </w:p>
          <w:p w14:paraId="56A36726" w14:textId="77777777" w:rsidR="0030195D" w:rsidRPr="00AE56DF" w:rsidRDefault="0030195D" w:rsidP="0030195D">
            <w:pPr>
              <w:spacing w:after="0"/>
              <w:ind w:left="743"/>
              <w:jc w:val="both"/>
              <w:rPr>
                <w:rFonts w:ascii="Arial" w:hAnsi="Arial" w:cs="Arial"/>
                <w:sz w:val="20"/>
              </w:rPr>
            </w:pPr>
          </w:p>
          <w:p w14:paraId="55B902DB"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The pharmacist will:</w:t>
            </w:r>
          </w:p>
          <w:p w14:paraId="35AF7489" w14:textId="77777777" w:rsidR="0030195D" w:rsidRPr="00AE56DF" w:rsidRDefault="0030195D" w:rsidP="0030195D">
            <w:pPr>
              <w:spacing w:after="0"/>
              <w:ind w:left="743"/>
              <w:jc w:val="both"/>
              <w:rPr>
                <w:rFonts w:ascii="Arial" w:hAnsi="Arial" w:cs="Arial"/>
                <w:sz w:val="20"/>
              </w:rPr>
            </w:pPr>
          </w:p>
          <w:p w14:paraId="2716719B" w14:textId="77777777" w:rsidR="0030195D" w:rsidRPr="00AE56DF" w:rsidRDefault="0030195D" w:rsidP="0030195D">
            <w:pPr>
              <w:pStyle w:val="ListParagraph"/>
              <w:numPr>
                <w:ilvl w:val="0"/>
                <w:numId w:val="5"/>
              </w:numPr>
              <w:jc w:val="both"/>
              <w:rPr>
                <w:rFonts w:ascii="Arial" w:hAnsi="Arial" w:cs="Arial"/>
                <w:sz w:val="20"/>
                <w:szCs w:val="20"/>
              </w:rPr>
            </w:pPr>
            <w:r w:rsidRPr="00AE56DF">
              <w:rPr>
                <w:rFonts w:ascii="Arial" w:hAnsi="Arial" w:cs="Arial"/>
                <w:sz w:val="20"/>
                <w:szCs w:val="20"/>
              </w:rPr>
              <w:t xml:space="preserve">Interview the patient (or, in a pandemic only, the patient’s representative) to identify the medicines needed and to establish the nature of the </w:t>
            </w:r>
            <w:proofErr w:type="gramStart"/>
            <w:r w:rsidRPr="00AE56DF">
              <w:rPr>
                <w:rFonts w:ascii="Arial" w:hAnsi="Arial" w:cs="Arial"/>
                <w:sz w:val="20"/>
                <w:szCs w:val="20"/>
              </w:rPr>
              <w:t>emergency;</w:t>
            </w:r>
            <w:proofErr w:type="gramEnd"/>
          </w:p>
          <w:p w14:paraId="231105E0" w14:textId="77777777" w:rsidR="0030195D" w:rsidRPr="00AE56DF" w:rsidRDefault="0030195D" w:rsidP="0030195D">
            <w:pPr>
              <w:pStyle w:val="ListParagraph"/>
              <w:numPr>
                <w:ilvl w:val="0"/>
                <w:numId w:val="5"/>
              </w:numPr>
              <w:jc w:val="both"/>
              <w:rPr>
                <w:rFonts w:ascii="Arial" w:hAnsi="Arial" w:cs="Arial"/>
                <w:sz w:val="20"/>
                <w:szCs w:val="20"/>
              </w:rPr>
            </w:pPr>
            <w:r w:rsidRPr="00AE56DF">
              <w:rPr>
                <w:rFonts w:ascii="Arial" w:hAnsi="Arial" w:cs="Arial"/>
                <w:sz w:val="20"/>
                <w:szCs w:val="20"/>
              </w:rPr>
              <w:t xml:space="preserve">Examine the patient medication record to establish whether the patient’s last course of the medicine was obtained from that pharmacy against a </w:t>
            </w:r>
            <w:proofErr w:type="gramStart"/>
            <w:r w:rsidRPr="00AE56DF">
              <w:rPr>
                <w:rFonts w:ascii="Arial" w:hAnsi="Arial" w:cs="Arial"/>
                <w:sz w:val="20"/>
                <w:szCs w:val="20"/>
              </w:rPr>
              <w:t>prescription;</w:t>
            </w:r>
            <w:proofErr w:type="gramEnd"/>
          </w:p>
          <w:p w14:paraId="5F1B2F8D" w14:textId="77777777" w:rsidR="0030195D" w:rsidRPr="00AE56DF" w:rsidRDefault="0030195D" w:rsidP="0030195D">
            <w:pPr>
              <w:pStyle w:val="ListParagraph"/>
              <w:numPr>
                <w:ilvl w:val="0"/>
                <w:numId w:val="5"/>
              </w:numPr>
              <w:jc w:val="both"/>
              <w:rPr>
                <w:rFonts w:ascii="Arial" w:hAnsi="Arial" w:cs="Arial"/>
                <w:sz w:val="20"/>
                <w:szCs w:val="20"/>
              </w:rPr>
            </w:pPr>
            <w:r w:rsidRPr="00AE56DF">
              <w:rPr>
                <w:rFonts w:ascii="Arial" w:hAnsi="Arial" w:cs="Arial"/>
                <w:sz w:val="20"/>
                <w:szCs w:val="20"/>
              </w:rPr>
              <w:t>If the patient’s last supply of the medicine was not supplied from that pharmacy, make reasonable attempts to contact the last supplying pharmacy or the prescriber, to ensure that successive supplies are not made under the emergency supply provisions; and</w:t>
            </w:r>
          </w:p>
          <w:p w14:paraId="30FC1182" w14:textId="77777777" w:rsidR="0030195D" w:rsidRDefault="0030195D" w:rsidP="0030195D">
            <w:pPr>
              <w:pStyle w:val="ListParagraph"/>
              <w:numPr>
                <w:ilvl w:val="0"/>
                <w:numId w:val="5"/>
              </w:numPr>
              <w:jc w:val="both"/>
              <w:rPr>
                <w:rFonts w:ascii="Arial" w:hAnsi="Arial" w:cs="Arial"/>
                <w:sz w:val="20"/>
                <w:szCs w:val="20"/>
              </w:rPr>
            </w:pPr>
            <w:r w:rsidRPr="00AE56DF">
              <w:rPr>
                <w:rFonts w:ascii="Arial" w:hAnsi="Arial" w:cs="Arial"/>
                <w:sz w:val="20"/>
                <w:szCs w:val="20"/>
              </w:rPr>
              <w:t xml:space="preserve">Where appropriate, advise the patient or his representative on the importance of ordering prescriptions in a timely </w:t>
            </w:r>
            <w:proofErr w:type="gramStart"/>
            <w:r w:rsidRPr="00AE56DF">
              <w:rPr>
                <w:rFonts w:ascii="Arial" w:hAnsi="Arial" w:cs="Arial"/>
                <w:sz w:val="20"/>
                <w:szCs w:val="20"/>
              </w:rPr>
              <w:t>manner</w:t>
            </w:r>
            <w:r>
              <w:rPr>
                <w:rFonts w:ascii="Arial" w:hAnsi="Arial" w:cs="Arial"/>
                <w:sz w:val="20"/>
                <w:szCs w:val="20"/>
              </w:rPr>
              <w:t>;</w:t>
            </w:r>
            <w:proofErr w:type="gramEnd"/>
          </w:p>
          <w:p w14:paraId="51388789" w14:textId="77777777" w:rsidR="0030195D" w:rsidRPr="00AE56DF" w:rsidRDefault="0030195D" w:rsidP="0030195D">
            <w:pPr>
              <w:pStyle w:val="ListParagraph"/>
              <w:numPr>
                <w:ilvl w:val="0"/>
                <w:numId w:val="5"/>
              </w:numPr>
              <w:jc w:val="both"/>
              <w:rPr>
                <w:rFonts w:ascii="Arial" w:hAnsi="Arial" w:cs="Arial"/>
                <w:sz w:val="20"/>
                <w:szCs w:val="20"/>
              </w:rPr>
            </w:pPr>
            <w:r>
              <w:rPr>
                <w:rFonts w:ascii="Arial" w:hAnsi="Arial" w:cs="Arial"/>
                <w:sz w:val="20"/>
                <w:szCs w:val="20"/>
              </w:rPr>
              <w:t>Access to summary care record (SCR) may provide relevant information.</w:t>
            </w:r>
          </w:p>
          <w:p w14:paraId="00B46E69" w14:textId="77777777" w:rsidR="0030195D" w:rsidRPr="00AE56DF" w:rsidRDefault="0030195D" w:rsidP="0030195D">
            <w:pPr>
              <w:spacing w:after="0"/>
              <w:ind w:left="743"/>
              <w:jc w:val="both"/>
              <w:rPr>
                <w:rFonts w:ascii="Arial" w:hAnsi="Arial" w:cs="Arial"/>
                <w:sz w:val="20"/>
              </w:rPr>
            </w:pPr>
          </w:p>
          <w:p w14:paraId="24FC6B3E"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 xml:space="preserve">The pharmacist will at his/her discretion, make the supply in accordance with the requirements of the Human Medicines Regulations 2012. The Pharmacy will provide a supply, of up to 5 days for local residents and to cover the duration of stay in the county for visitors, of medicines that the patient routinely has on </w:t>
            </w:r>
            <w:proofErr w:type="gramStart"/>
            <w:r w:rsidRPr="00AE56DF">
              <w:rPr>
                <w:rFonts w:ascii="Arial" w:hAnsi="Arial" w:cs="Arial"/>
                <w:sz w:val="20"/>
              </w:rPr>
              <w:t>a</w:t>
            </w:r>
            <w:proofErr w:type="gramEnd"/>
            <w:r w:rsidRPr="00AE56DF">
              <w:rPr>
                <w:rFonts w:ascii="Arial" w:hAnsi="Arial" w:cs="Arial"/>
                <w:sz w:val="20"/>
              </w:rPr>
              <w:t xml:space="preserve"> NHS repeat prescription from their GP.</w:t>
            </w:r>
          </w:p>
          <w:p w14:paraId="02AAECBD" w14:textId="77777777" w:rsidR="0030195D" w:rsidRPr="00AE56DF" w:rsidRDefault="0030195D" w:rsidP="0030195D">
            <w:pPr>
              <w:spacing w:after="0"/>
              <w:ind w:left="743"/>
              <w:jc w:val="both"/>
              <w:rPr>
                <w:rFonts w:ascii="Arial" w:hAnsi="Arial" w:cs="Arial"/>
                <w:sz w:val="20"/>
              </w:rPr>
            </w:pPr>
          </w:p>
          <w:p w14:paraId="7248CB03"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The pharmacy will maintain a record:</w:t>
            </w:r>
          </w:p>
          <w:p w14:paraId="6DA12B10" w14:textId="77777777" w:rsidR="0030195D" w:rsidRPr="00AE56DF" w:rsidRDefault="0030195D" w:rsidP="0030195D">
            <w:pPr>
              <w:spacing w:after="0"/>
              <w:ind w:left="743"/>
              <w:jc w:val="both"/>
              <w:rPr>
                <w:rFonts w:ascii="Arial" w:hAnsi="Arial" w:cs="Arial"/>
                <w:sz w:val="20"/>
              </w:rPr>
            </w:pPr>
          </w:p>
          <w:p w14:paraId="5AFDEC70" w14:textId="77777777" w:rsidR="0030195D" w:rsidRPr="00AE56DF" w:rsidRDefault="0030195D" w:rsidP="0030195D">
            <w:pPr>
              <w:pStyle w:val="ListParagraph"/>
              <w:numPr>
                <w:ilvl w:val="0"/>
                <w:numId w:val="6"/>
              </w:numPr>
              <w:jc w:val="both"/>
              <w:rPr>
                <w:rFonts w:ascii="Arial" w:hAnsi="Arial" w:cs="Arial"/>
                <w:sz w:val="20"/>
                <w:szCs w:val="20"/>
              </w:rPr>
            </w:pPr>
            <w:r w:rsidRPr="00AE56DF">
              <w:rPr>
                <w:rFonts w:ascii="Arial" w:hAnsi="Arial" w:cs="Arial"/>
                <w:sz w:val="20"/>
                <w:szCs w:val="20"/>
              </w:rPr>
              <w:t xml:space="preserve">of the emergency supply, setting out the name and address of the patient, the prescription only medicine supplied, the date of the supply and the nature of the emergency in accordance with the Human Medicines Regulations </w:t>
            </w:r>
            <w:proofErr w:type="gramStart"/>
            <w:r w:rsidRPr="00AE56DF">
              <w:rPr>
                <w:rFonts w:ascii="Arial" w:hAnsi="Arial" w:cs="Arial"/>
                <w:sz w:val="20"/>
                <w:szCs w:val="20"/>
              </w:rPr>
              <w:t>2012;</w:t>
            </w:r>
            <w:proofErr w:type="gramEnd"/>
          </w:p>
          <w:p w14:paraId="5A64669E" w14:textId="77777777" w:rsidR="0030195D" w:rsidRPr="00AE56DF" w:rsidRDefault="0030195D" w:rsidP="0030195D">
            <w:pPr>
              <w:pStyle w:val="ListParagraph"/>
              <w:numPr>
                <w:ilvl w:val="0"/>
                <w:numId w:val="6"/>
              </w:numPr>
              <w:jc w:val="both"/>
              <w:rPr>
                <w:rFonts w:ascii="Arial" w:hAnsi="Arial" w:cs="Arial"/>
                <w:sz w:val="20"/>
                <w:szCs w:val="20"/>
              </w:rPr>
            </w:pPr>
            <w:r w:rsidRPr="00AE56DF">
              <w:rPr>
                <w:rFonts w:ascii="Arial" w:hAnsi="Arial" w:cs="Arial"/>
                <w:sz w:val="20"/>
                <w:szCs w:val="20"/>
              </w:rPr>
              <w:t xml:space="preserve">of the consultation and any medicine that is supplied in the patient medication </w:t>
            </w:r>
            <w:proofErr w:type="gramStart"/>
            <w:r w:rsidRPr="00AE56DF">
              <w:rPr>
                <w:rFonts w:ascii="Arial" w:hAnsi="Arial" w:cs="Arial"/>
                <w:sz w:val="20"/>
                <w:szCs w:val="20"/>
              </w:rPr>
              <w:t>record;</w:t>
            </w:r>
            <w:proofErr w:type="gramEnd"/>
          </w:p>
          <w:p w14:paraId="58C1A4BF" w14:textId="77777777" w:rsidR="0030195D" w:rsidRPr="00FC7A6B" w:rsidRDefault="0030195D" w:rsidP="0030195D">
            <w:pPr>
              <w:pStyle w:val="ListParagraph"/>
              <w:numPr>
                <w:ilvl w:val="0"/>
                <w:numId w:val="6"/>
              </w:numPr>
              <w:jc w:val="both"/>
              <w:rPr>
                <w:rFonts w:ascii="Arial" w:hAnsi="Arial" w:cs="Arial"/>
                <w:sz w:val="20"/>
                <w:szCs w:val="20"/>
              </w:rPr>
            </w:pPr>
            <w:r w:rsidRPr="00FC7A6B">
              <w:rPr>
                <w:rFonts w:ascii="Arial" w:hAnsi="Arial" w:cs="Arial"/>
                <w:sz w:val="20"/>
                <w:szCs w:val="20"/>
              </w:rPr>
              <w:t xml:space="preserve">of the consultation and any medicine that is supplied via </w:t>
            </w:r>
            <w:proofErr w:type="spellStart"/>
            <w:r w:rsidRPr="00FC7A6B">
              <w:rPr>
                <w:rFonts w:ascii="Arial" w:hAnsi="Arial" w:cs="Arial"/>
                <w:sz w:val="20"/>
                <w:szCs w:val="20"/>
              </w:rPr>
              <w:t>PharmOutcomes</w:t>
            </w:r>
            <w:proofErr w:type="spellEnd"/>
            <w:r w:rsidRPr="00FC7A6B">
              <w:rPr>
                <w:rFonts w:ascii="Arial" w:hAnsi="Arial" w:cs="Arial"/>
                <w:sz w:val="20"/>
                <w:szCs w:val="20"/>
              </w:rPr>
              <w:t xml:space="preserve"> IT system provided by NHS Ke</w:t>
            </w:r>
            <w:r>
              <w:rPr>
                <w:rFonts w:ascii="Arial" w:hAnsi="Arial" w:cs="Arial"/>
                <w:sz w:val="20"/>
                <w:szCs w:val="20"/>
              </w:rPr>
              <w:t>rnow.</w:t>
            </w:r>
            <w:r w:rsidRPr="00FC7A6B">
              <w:rPr>
                <w:rFonts w:ascii="Arial" w:hAnsi="Arial" w:cs="Arial"/>
                <w:sz w:val="20"/>
                <w:szCs w:val="20"/>
              </w:rPr>
              <w:t xml:space="preserve"> </w:t>
            </w:r>
            <w:proofErr w:type="spellStart"/>
            <w:r w:rsidRPr="00FC7A6B">
              <w:rPr>
                <w:rFonts w:ascii="Arial" w:hAnsi="Arial" w:cs="Arial"/>
                <w:sz w:val="20"/>
                <w:szCs w:val="20"/>
              </w:rPr>
              <w:t>PharmOutcomes</w:t>
            </w:r>
            <w:proofErr w:type="spellEnd"/>
            <w:r w:rsidRPr="00FC7A6B">
              <w:rPr>
                <w:rFonts w:ascii="Arial" w:hAnsi="Arial" w:cs="Arial"/>
                <w:sz w:val="20"/>
                <w:szCs w:val="20"/>
              </w:rPr>
              <w:t xml:space="preserve"> will be used for the recording of relevant service information for the purposes of audit and the claiming of </w:t>
            </w:r>
            <w:proofErr w:type="gramStart"/>
            <w:r w:rsidRPr="00FC7A6B">
              <w:rPr>
                <w:rFonts w:ascii="Arial" w:hAnsi="Arial" w:cs="Arial"/>
                <w:sz w:val="20"/>
                <w:szCs w:val="20"/>
              </w:rPr>
              <w:t>payment;</w:t>
            </w:r>
            <w:proofErr w:type="gramEnd"/>
          </w:p>
          <w:p w14:paraId="17DA1C10" w14:textId="77777777" w:rsidR="0030195D" w:rsidRPr="00FC7A6B" w:rsidRDefault="0030195D" w:rsidP="0030195D">
            <w:pPr>
              <w:pStyle w:val="ListParagraph"/>
              <w:numPr>
                <w:ilvl w:val="0"/>
                <w:numId w:val="6"/>
              </w:numPr>
              <w:jc w:val="both"/>
              <w:rPr>
                <w:rFonts w:ascii="Arial" w:hAnsi="Arial" w:cs="Arial"/>
                <w:sz w:val="20"/>
                <w:szCs w:val="20"/>
              </w:rPr>
            </w:pPr>
            <w:r w:rsidRPr="00FC7A6B">
              <w:rPr>
                <w:rFonts w:ascii="Arial" w:hAnsi="Arial" w:cs="Arial"/>
                <w:sz w:val="20"/>
                <w:szCs w:val="20"/>
              </w:rPr>
              <w:t>of the electronic copy of the record that will be sent to the patient’s general practitioner for information. Patient consent will need to be given for this data sharing.</w:t>
            </w:r>
          </w:p>
          <w:p w14:paraId="25736223" w14:textId="77777777" w:rsidR="0030195D" w:rsidRPr="00FC7A6B" w:rsidRDefault="0030195D" w:rsidP="0030195D">
            <w:pPr>
              <w:spacing w:after="0"/>
              <w:ind w:left="743"/>
              <w:jc w:val="both"/>
              <w:rPr>
                <w:rFonts w:ascii="Arial" w:hAnsi="Arial" w:cs="Arial"/>
                <w:sz w:val="20"/>
              </w:rPr>
            </w:pPr>
          </w:p>
          <w:p w14:paraId="5688A7C3" w14:textId="77777777" w:rsidR="0030195D" w:rsidRPr="00FC7A6B" w:rsidRDefault="0030195D" w:rsidP="0030195D">
            <w:pPr>
              <w:spacing w:after="0"/>
              <w:ind w:left="743"/>
              <w:jc w:val="both"/>
              <w:rPr>
                <w:rFonts w:ascii="Arial" w:hAnsi="Arial" w:cs="Arial"/>
                <w:sz w:val="20"/>
              </w:rPr>
            </w:pPr>
            <w:r w:rsidRPr="00FC7A6B">
              <w:rPr>
                <w:rFonts w:ascii="Arial" w:hAnsi="Arial" w:cs="Arial"/>
                <w:sz w:val="20"/>
              </w:rPr>
              <w:t xml:space="preserve">Entry of service on </w:t>
            </w:r>
            <w:proofErr w:type="spellStart"/>
            <w:r w:rsidRPr="00FC7A6B">
              <w:rPr>
                <w:rFonts w:ascii="Arial" w:hAnsi="Arial" w:cs="Arial"/>
                <w:sz w:val="20"/>
              </w:rPr>
              <w:t>PharmOutcomes</w:t>
            </w:r>
            <w:proofErr w:type="spellEnd"/>
            <w:r w:rsidRPr="00FC7A6B">
              <w:rPr>
                <w:rFonts w:ascii="Arial" w:hAnsi="Arial" w:cs="Arial"/>
                <w:sz w:val="20"/>
              </w:rPr>
              <w:t xml:space="preserve"> will automatically generate the monthly invoice.</w:t>
            </w:r>
          </w:p>
          <w:p w14:paraId="5398D5E1" w14:textId="77777777" w:rsidR="0030195D" w:rsidRPr="00FC7A6B" w:rsidRDefault="0030195D" w:rsidP="0030195D">
            <w:pPr>
              <w:spacing w:after="0"/>
              <w:ind w:left="743"/>
              <w:jc w:val="both"/>
              <w:rPr>
                <w:rFonts w:ascii="Arial" w:hAnsi="Arial" w:cs="Arial"/>
                <w:sz w:val="20"/>
              </w:rPr>
            </w:pPr>
          </w:p>
          <w:p w14:paraId="2952041D" w14:textId="77777777" w:rsidR="0030195D" w:rsidRPr="00AE56DF" w:rsidRDefault="0030195D" w:rsidP="0030195D">
            <w:pPr>
              <w:spacing w:after="0"/>
              <w:ind w:left="743"/>
              <w:jc w:val="both"/>
              <w:rPr>
                <w:rFonts w:ascii="Arial" w:hAnsi="Arial" w:cs="Arial"/>
                <w:sz w:val="20"/>
              </w:rPr>
            </w:pPr>
            <w:r w:rsidRPr="00FC7A6B">
              <w:rPr>
                <w:rFonts w:ascii="Arial" w:hAnsi="Arial" w:cs="Arial"/>
                <w:sz w:val="20"/>
              </w:rPr>
              <w:t>A prescription charge should be collected unless the patient is exempt in accordance with the NHS Charges for Drugs and Appliances Regulations. Where a prescription charge is paid a patient must sign a declaration. A prescription refund</w:t>
            </w:r>
            <w:r w:rsidRPr="00AE56DF">
              <w:rPr>
                <w:rFonts w:ascii="Arial" w:hAnsi="Arial" w:cs="Arial"/>
                <w:sz w:val="20"/>
              </w:rPr>
              <w:t xml:space="preserve"> and receipt </w:t>
            </w:r>
            <w:r w:rsidRPr="00AE56DF">
              <w:rPr>
                <w:rFonts w:ascii="Arial" w:hAnsi="Arial" w:cs="Arial"/>
                <w:sz w:val="20"/>
              </w:rPr>
              <w:lastRenderedPageBreak/>
              <w:t>form as approved by the Secretary of State must be provided if the patient requests it. Any prescription charges collected from patients will be deducted from the sum payable to the pharmacy.</w:t>
            </w:r>
          </w:p>
          <w:p w14:paraId="4A748B2D" w14:textId="77777777" w:rsidR="0030195D" w:rsidRPr="00AE56DF" w:rsidRDefault="0030195D" w:rsidP="0030195D">
            <w:pPr>
              <w:spacing w:after="0"/>
              <w:ind w:left="743"/>
              <w:jc w:val="both"/>
              <w:rPr>
                <w:rFonts w:ascii="Arial" w:hAnsi="Arial" w:cs="Arial"/>
                <w:sz w:val="20"/>
              </w:rPr>
            </w:pPr>
          </w:p>
          <w:p w14:paraId="740C117D"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If a patient is exempt from paying a prescription charge in accordance with the NHS Charges for Drugs and Appliances Regulations, evidence of entitlement to exemption should be provided by the patient for the pharmacy to check and the patient must make a declaration of entitlement. Where a claim to exemption has been made but is not substantiated, the charge should be recovered from the patient by the pharmacy.</w:t>
            </w:r>
          </w:p>
          <w:p w14:paraId="0E07E7F1" w14:textId="77777777" w:rsidR="0030195D" w:rsidRPr="00AE56DF" w:rsidRDefault="0030195D" w:rsidP="0030195D">
            <w:pPr>
              <w:spacing w:after="0"/>
              <w:ind w:left="743"/>
              <w:jc w:val="both"/>
              <w:rPr>
                <w:rFonts w:ascii="Arial" w:hAnsi="Arial" w:cs="Arial"/>
                <w:sz w:val="20"/>
              </w:rPr>
            </w:pPr>
          </w:p>
          <w:p w14:paraId="6059C205"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The pharmacy contractor must have a standard operating procedure in place for this service.</w:t>
            </w:r>
          </w:p>
          <w:p w14:paraId="6E751FDE" w14:textId="77777777" w:rsidR="0030195D" w:rsidRPr="00AE56DF" w:rsidRDefault="0030195D" w:rsidP="0030195D">
            <w:pPr>
              <w:spacing w:after="0"/>
              <w:ind w:left="743"/>
              <w:jc w:val="both"/>
              <w:rPr>
                <w:rFonts w:ascii="Arial" w:hAnsi="Arial" w:cs="Arial"/>
                <w:sz w:val="20"/>
              </w:rPr>
            </w:pPr>
          </w:p>
          <w:p w14:paraId="1E5470A0"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Locally agreed referral pathways should be followed where the pharmacy is not able to make an urgently required supply of a prescription only medicine.</w:t>
            </w:r>
          </w:p>
          <w:p w14:paraId="28717009" w14:textId="77777777" w:rsidR="0030195D" w:rsidRPr="00AE56DF" w:rsidRDefault="0030195D" w:rsidP="0030195D">
            <w:pPr>
              <w:spacing w:after="0"/>
              <w:ind w:left="743"/>
              <w:jc w:val="both"/>
              <w:rPr>
                <w:rFonts w:ascii="Arial" w:hAnsi="Arial" w:cs="Arial"/>
                <w:sz w:val="20"/>
              </w:rPr>
            </w:pPr>
          </w:p>
          <w:p w14:paraId="22E3CECE"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Training and Premises Requirements</w:t>
            </w:r>
          </w:p>
          <w:p w14:paraId="18817DE5" w14:textId="77777777" w:rsidR="0030195D" w:rsidRPr="00AE56DF" w:rsidRDefault="0030195D" w:rsidP="0030195D">
            <w:pPr>
              <w:spacing w:after="0"/>
              <w:ind w:left="743"/>
              <w:jc w:val="both"/>
              <w:rPr>
                <w:rFonts w:ascii="Arial" w:hAnsi="Arial" w:cs="Arial"/>
                <w:sz w:val="20"/>
              </w:rPr>
            </w:pPr>
          </w:p>
          <w:p w14:paraId="3AC7717D"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 xml:space="preserve">The pharmacy contractor has a duty to ensure that pharmacists involved in the provision of the service have relevant knowledge and are appropriately trained in the operation of the service. </w:t>
            </w:r>
          </w:p>
          <w:p w14:paraId="1059A433" w14:textId="77777777" w:rsidR="0030195D" w:rsidRPr="00AE56DF" w:rsidRDefault="0030195D" w:rsidP="0030195D">
            <w:pPr>
              <w:spacing w:after="0"/>
              <w:ind w:left="743"/>
              <w:jc w:val="both"/>
              <w:rPr>
                <w:rFonts w:ascii="Arial" w:hAnsi="Arial" w:cs="Arial"/>
                <w:sz w:val="20"/>
              </w:rPr>
            </w:pPr>
          </w:p>
          <w:p w14:paraId="59FCFF8F"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Service availability</w:t>
            </w:r>
          </w:p>
          <w:p w14:paraId="59E4F248" w14:textId="77777777" w:rsidR="0030195D" w:rsidRPr="00AE56DF" w:rsidRDefault="0030195D" w:rsidP="0030195D">
            <w:pPr>
              <w:spacing w:after="0"/>
              <w:ind w:left="743"/>
              <w:jc w:val="both"/>
              <w:rPr>
                <w:rFonts w:ascii="Arial" w:hAnsi="Arial" w:cs="Arial"/>
                <w:sz w:val="20"/>
              </w:rPr>
            </w:pPr>
          </w:p>
          <w:p w14:paraId="3F2F8C1F"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 xml:space="preserve">This service, as with other locally commissioned services, should be available at least 5 days per week at the accredited community pharmacy. Where the pharmacy is open over the weekend or for </w:t>
            </w:r>
            <w:proofErr w:type="spellStart"/>
            <w:r w:rsidRPr="00AE56DF">
              <w:rPr>
                <w:rFonts w:ascii="Arial" w:hAnsi="Arial" w:cs="Arial"/>
                <w:sz w:val="20"/>
              </w:rPr>
              <w:t>rota</w:t>
            </w:r>
            <w:proofErr w:type="spellEnd"/>
            <w:r w:rsidRPr="00AE56DF">
              <w:rPr>
                <w:rFonts w:ascii="Arial" w:hAnsi="Arial" w:cs="Arial"/>
                <w:sz w:val="20"/>
              </w:rPr>
              <w:t xml:space="preserve"> duties the service must be provided during these periods. 100-hour pharmacies would be expected to operate this service </w:t>
            </w:r>
            <w:proofErr w:type="gramStart"/>
            <w:r w:rsidRPr="00AE56DF">
              <w:rPr>
                <w:rFonts w:ascii="Arial" w:hAnsi="Arial" w:cs="Arial"/>
                <w:sz w:val="20"/>
              </w:rPr>
              <w:t>in particular due</w:t>
            </w:r>
            <w:proofErr w:type="gramEnd"/>
            <w:r w:rsidRPr="00AE56DF">
              <w:rPr>
                <w:rFonts w:ascii="Arial" w:hAnsi="Arial" w:cs="Arial"/>
                <w:sz w:val="20"/>
              </w:rPr>
              <w:t xml:space="preserve"> to their extended opening hours.</w:t>
            </w:r>
          </w:p>
          <w:p w14:paraId="1E1F648B" w14:textId="77777777" w:rsidR="0030195D" w:rsidRPr="00AE56DF" w:rsidRDefault="0030195D" w:rsidP="0030195D">
            <w:pPr>
              <w:spacing w:after="0"/>
              <w:ind w:left="743"/>
              <w:jc w:val="both"/>
              <w:rPr>
                <w:rFonts w:ascii="Arial" w:hAnsi="Arial" w:cs="Arial"/>
                <w:sz w:val="20"/>
              </w:rPr>
            </w:pPr>
          </w:p>
          <w:p w14:paraId="3560F5D3" w14:textId="30B46032" w:rsidR="0030195D" w:rsidRPr="00AE56DF" w:rsidRDefault="0030195D" w:rsidP="0030195D">
            <w:pPr>
              <w:spacing w:after="0"/>
              <w:ind w:left="743"/>
              <w:jc w:val="both"/>
              <w:rPr>
                <w:rFonts w:ascii="Arial" w:hAnsi="Arial" w:cs="Arial"/>
                <w:sz w:val="20"/>
              </w:rPr>
            </w:pPr>
            <w:r w:rsidRPr="00AE56DF">
              <w:rPr>
                <w:rFonts w:ascii="Arial" w:hAnsi="Arial" w:cs="Arial"/>
                <w:sz w:val="20"/>
              </w:rPr>
              <w:t>Over busy holiday periods</w:t>
            </w:r>
            <w:r>
              <w:rPr>
                <w:rFonts w:ascii="Arial" w:hAnsi="Arial" w:cs="Arial"/>
                <w:sz w:val="20"/>
              </w:rPr>
              <w:t xml:space="preserve"> </w:t>
            </w:r>
            <w:r w:rsidRPr="00AE56DF">
              <w:rPr>
                <w:rFonts w:ascii="Arial" w:hAnsi="Arial" w:cs="Arial"/>
                <w:sz w:val="20"/>
              </w:rPr>
              <w:t>the service may be extended to include provision of repeat medicines in-hours (this will be done in liaison with both LMC and LPC)</w:t>
            </w:r>
          </w:p>
          <w:p w14:paraId="63C36482"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In emergency situations which may cover smaller local areas or the whole CCG the service may be extended to include provision of repeat medicines in-hours (this will be done in liaison with both LMC and LPC)</w:t>
            </w:r>
          </w:p>
          <w:p w14:paraId="59F3CCA8" w14:textId="77777777" w:rsidR="0030195D" w:rsidRPr="00AE56DF" w:rsidRDefault="0030195D" w:rsidP="0030195D">
            <w:pPr>
              <w:spacing w:after="0"/>
              <w:ind w:left="743"/>
              <w:jc w:val="both"/>
              <w:rPr>
                <w:rFonts w:ascii="Arial" w:hAnsi="Arial" w:cs="Arial"/>
                <w:sz w:val="20"/>
              </w:rPr>
            </w:pPr>
          </w:p>
          <w:p w14:paraId="78FF256A"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 xml:space="preserve">In </w:t>
            </w:r>
            <w:proofErr w:type="gramStart"/>
            <w:r w:rsidRPr="00AE56DF">
              <w:rPr>
                <w:rFonts w:ascii="Arial" w:hAnsi="Arial" w:cs="Arial"/>
                <w:sz w:val="20"/>
              </w:rPr>
              <w:t>both of the above</w:t>
            </w:r>
            <w:proofErr w:type="gramEnd"/>
            <w:r w:rsidRPr="00AE56DF">
              <w:rPr>
                <w:rFonts w:ascii="Arial" w:hAnsi="Arial" w:cs="Arial"/>
                <w:sz w:val="20"/>
              </w:rPr>
              <w:t xml:space="preserve"> situations those pharmacies operating the service will be notified in writing</w:t>
            </w:r>
            <w:r>
              <w:rPr>
                <w:rFonts w:ascii="Arial" w:hAnsi="Arial" w:cs="Arial"/>
                <w:sz w:val="20"/>
              </w:rPr>
              <w:t xml:space="preserve"> or by email</w:t>
            </w:r>
            <w:r w:rsidRPr="00AE56DF">
              <w:rPr>
                <w:rFonts w:ascii="Arial" w:hAnsi="Arial" w:cs="Arial"/>
                <w:sz w:val="20"/>
              </w:rPr>
              <w:t xml:space="preserve"> prior to the in-hours extension coming into effect and this notification will contain the relevant areas and dates.</w:t>
            </w:r>
          </w:p>
          <w:p w14:paraId="6F4B5249" w14:textId="77777777" w:rsidR="0030195D" w:rsidRPr="00AE56DF" w:rsidRDefault="0030195D" w:rsidP="0030195D">
            <w:pPr>
              <w:spacing w:after="0"/>
              <w:ind w:left="743"/>
              <w:jc w:val="both"/>
              <w:rPr>
                <w:rFonts w:ascii="Arial" w:hAnsi="Arial" w:cs="Arial"/>
                <w:sz w:val="20"/>
              </w:rPr>
            </w:pPr>
          </w:p>
          <w:p w14:paraId="37A0A13F"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Quality Standards</w:t>
            </w:r>
          </w:p>
          <w:p w14:paraId="2856C8ED" w14:textId="77777777" w:rsidR="0030195D" w:rsidRPr="00AE56DF" w:rsidRDefault="0030195D" w:rsidP="0030195D">
            <w:pPr>
              <w:spacing w:after="0"/>
              <w:ind w:left="743"/>
              <w:jc w:val="both"/>
              <w:rPr>
                <w:rFonts w:ascii="Arial" w:hAnsi="Arial" w:cs="Arial"/>
                <w:sz w:val="20"/>
              </w:rPr>
            </w:pPr>
          </w:p>
          <w:p w14:paraId="2466FA2D"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The pharmacy reviews its standard operating procedures and the referral pathways for the service on an annual basis.</w:t>
            </w:r>
          </w:p>
          <w:p w14:paraId="1D984E2A" w14:textId="77777777" w:rsidR="0030195D" w:rsidRPr="00AE56DF" w:rsidRDefault="0030195D" w:rsidP="0030195D">
            <w:pPr>
              <w:spacing w:after="0"/>
              <w:ind w:left="743"/>
              <w:jc w:val="both"/>
              <w:rPr>
                <w:rFonts w:ascii="Arial" w:hAnsi="Arial" w:cs="Arial"/>
                <w:sz w:val="20"/>
              </w:rPr>
            </w:pPr>
          </w:p>
          <w:p w14:paraId="76FB7579"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The pharmacy can demonstrate that pharmacists involved in the provision of the service have undertaken continuing professional development (CPD) relevant to this service.</w:t>
            </w:r>
          </w:p>
          <w:p w14:paraId="27D6A975" w14:textId="77777777" w:rsidR="0030195D" w:rsidRPr="00AE56DF" w:rsidRDefault="0030195D" w:rsidP="0030195D">
            <w:pPr>
              <w:spacing w:after="0"/>
              <w:ind w:left="743"/>
              <w:jc w:val="both"/>
              <w:rPr>
                <w:rFonts w:ascii="Arial" w:hAnsi="Arial" w:cs="Arial"/>
                <w:sz w:val="20"/>
              </w:rPr>
            </w:pPr>
          </w:p>
          <w:p w14:paraId="712FA2C6"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 xml:space="preserve">The pharmacy participates in any NHS </w:t>
            </w:r>
            <w:proofErr w:type="spellStart"/>
            <w:r w:rsidRPr="00AE56DF">
              <w:rPr>
                <w:rFonts w:ascii="Arial" w:hAnsi="Arial" w:cs="Arial"/>
                <w:sz w:val="20"/>
              </w:rPr>
              <w:t>Kernow</w:t>
            </w:r>
            <w:proofErr w:type="spellEnd"/>
            <w:r w:rsidRPr="00AE56DF">
              <w:rPr>
                <w:rFonts w:ascii="Arial" w:hAnsi="Arial" w:cs="Arial"/>
                <w:sz w:val="20"/>
              </w:rPr>
              <w:t>-led audit of service provision.</w:t>
            </w:r>
          </w:p>
          <w:p w14:paraId="4B848BC0" w14:textId="77777777" w:rsidR="0030195D" w:rsidRPr="00AE56DF" w:rsidRDefault="0030195D" w:rsidP="0030195D">
            <w:pPr>
              <w:spacing w:after="0"/>
              <w:ind w:left="743"/>
              <w:jc w:val="both"/>
              <w:rPr>
                <w:rFonts w:ascii="Arial" w:hAnsi="Arial" w:cs="Arial"/>
                <w:sz w:val="20"/>
              </w:rPr>
            </w:pPr>
          </w:p>
          <w:p w14:paraId="36F22E7A" w14:textId="77777777" w:rsidR="0030195D" w:rsidRPr="00AE56DF" w:rsidRDefault="0030195D" w:rsidP="0030195D">
            <w:pPr>
              <w:spacing w:after="0"/>
              <w:ind w:left="743"/>
              <w:jc w:val="both"/>
              <w:rPr>
                <w:rFonts w:ascii="Arial" w:hAnsi="Arial" w:cs="Arial"/>
                <w:sz w:val="20"/>
              </w:rPr>
            </w:pPr>
            <w:r w:rsidRPr="00AE56DF">
              <w:rPr>
                <w:rFonts w:ascii="Arial" w:hAnsi="Arial" w:cs="Arial"/>
                <w:sz w:val="20"/>
              </w:rPr>
              <w:t xml:space="preserve">The pharmacy co-operates with any NHS </w:t>
            </w:r>
            <w:proofErr w:type="spellStart"/>
            <w:r w:rsidRPr="00AE56DF">
              <w:rPr>
                <w:rFonts w:ascii="Arial" w:hAnsi="Arial" w:cs="Arial"/>
                <w:sz w:val="20"/>
              </w:rPr>
              <w:t>Kernow</w:t>
            </w:r>
            <w:proofErr w:type="spellEnd"/>
            <w:r w:rsidRPr="00AE56DF">
              <w:rPr>
                <w:rFonts w:ascii="Arial" w:hAnsi="Arial" w:cs="Arial"/>
                <w:sz w:val="20"/>
              </w:rPr>
              <w:t>-led assessment of service user experience.</w:t>
            </w:r>
          </w:p>
          <w:p w14:paraId="03EDBD1D" w14:textId="77777777" w:rsidR="0030195D" w:rsidRPr="00AE56DF" w:rsidRDefault="0030195D" w:rsidP="0030195D">
            <w:pPr>
              <w:spacing w:after="0"/>
              <w:ind w:left="743"/>
              <w:jc w:val="both"/>
              <w:rPr>
                <w:rFonts w:ascii="Arial" w:hAnsi="Arial" w:cs="Arial"/>
                <w:sz w:val="20"/>
              </w:rPr>
            </w:pPr>
          </w:p>
          <w:p w14:paraId="527CBD41" w14:textId="77777777" w:rsidR="0030195D" w:rsidRPr="00AE56DF" w:rsidRDefault="0030195D" w:rsidP="0030195D">
            <w:pPr>
              <w:spacing w:after="0"/>
              <w:ind w:left="743"/>
              <w:jc w:val="both"/>
              <w:rPr>
                <w:rFonts w:ascii="Arial" w:hAnsi="Arial" w:cs="Arial"/>
                <w:b/>
                <w:sz w:val="20"/>
              </w:rPr>
            </w:pPr>
            <w:r w:rsidRPr="00AE56DF">
              <w:rPr>
                <w:rFonts w:ascii="Arial" w:hAnsi="Arial" w:cs="Arial"/>
                <w:b/>
                <w:sz w:val="20"/>
              </w:rPr>
              <w:t>Claiming payment</w:t>
            </w:r>
          </w:p>
          <w:p w14:paraId="1675378A" w14:textId="77777777" w:rsidR="0030195D" w:rsidRDefault="0030195D" w:rsidP="0030195D">
            <w:pPr>
              <w:spacing w:after="0"/>
              <w:ind w:left="743"/>
              <w:jc w:val="both"/>
              <w:rPr>
                <w:rFonts w:ascii="Arial" w:hAnsi="Arial" w:cs="Arial"/>
                <w:sz w:val="20"/>
              </w:rPr>
            </w:pPr>
          </w:p>
          <w:p w14:paraId="29E06334" w14:textId="77777777" w:rsidR="0030195D" w:rsidRPr="00AE56DF" w:rsidRDefault="0030195D" w:rsidP="0030195D">
            <w:pPr>
              <w:spacing w:after="0"/>
              <w:ind w:left="743"/>
              <w:jc w:val="both"/>
              <w:rPr>
                <w:rFonts w:ascii="Arial" w:hAnsi="Arial" w:cs="Arial"/>
                <w:sz w:val="20"/>
              </w:rPr>
            </w:pPr>
            <w:r w:rsidRPr="00FC7A6B">
              <w:rPr>
                <w:rFonts w:ascii="Arial" w:hAnsi="Arial" w:cs="Arial"/>
                <w:sz w:val="20"/>
              </w:rPr>
              <w:t xml:space="preserve">The </w:t>
            </w:r>
            <w:proofErr w:type="spellStart"/>
            <w:r w:rsidRPr="00FC7A6B">
              <w:rPr>
                <w:rFonts w:ascii="Arial" w:hAnsi="Arial" w:cs="Arial"/>
                <w:sz w:val="20"/>
              </w:rPr>
              <w:t>PharmOutcomes</w:t>
            </w:r>
            <w:proofErr w:type="spellEnd"/>
            <w:r w:rsidRPr="00FC7A6B">
              <w:rPr>
                <w:rFonts w:ascii="Arial" w:hAnsi="Arial" w:cs="Arial"/>
                <w:sz w:val="20"/>
              </w:rPr>
              <w:t xml:space="preserve"> system will generate electronic invoices forwarded to NHS </w:t>
            </w:r>
            <w:proofErr w:type="spellStart"/>
            <w:r w:rsidRPr="00FC7A6B">
              <w:rPr>
                <w:rFonts w:ascii="Arial" w:hAnsi="Arial" w:cs="Arial"/>
                <w:sz w:val="20"/>
              </w:rPr>
              <w:t>Kernow</w:t>
            </w:r>
            <w:proofErr w:type="spellEnd"/>
            <w:r w:rsidRPr="00FC7A6B">
              <w:rPr>
                <w:rFonts w:ascii="Arial" w:hAnsi="Arial" w:cs="Arial"/>
                <w:sz w:val="20"/>
              </w:rPr>
              <w:t xml:space="preserve"> for monthly payment</w:t>
            </w:r>
            <w:r>
              <w:rPr>
                <w:rFonts w:ascii="Arial" w:hAnsi="Arial" w:cs="Arial"/>
                <w:sz w:val="20"/>
              </w:rPr>
              <w:t xml:space="preserve"> </w:t>
            </w:r>
            <w:proofErr w:type="gramStart"/>
            <w:r>
              <w:rPr>
                <w:rFonts w:ascii="Arial" w:hAnsi="Arial" w:cs="Arial"/>
                <w:sz w:val="20"/>
              </w:rPr>
              <w:t>-  see</w:t>
            </w:r>
            <w:proofErr w:type="gramEnd"/>
            <w:r>
              <w:rPr>
                <w:rFonts w:ascii="Arial" w:hAnsi="Arial" w:cs="Arial"/>
                <w:sz w:val="20"/>
              </w:rPr>
              <w:t xml:space="preserve"> Schedule 3.</w:t>
            </w:r>
          </w:p>
          <w:p w14:paraId="01A6AFA8" w14:textId="77777777" w:rsidR="0030195D" w:rsidRPr="00AE56DF" w:rsidRDefault="0030195D" w:rsidP="0030195D">
            <w:pPr>
              <w:spacing w:after="0"/>
              <w:rPr>
                <w:rFonts w:ascii="Arial" w:hAnsi="Arial" w:cs="Arial"/>
                <w:color w:val="009966"/>
                <w:sz w:val="20"/>
              </w:rPr>
            </w:pPr>
          </w:p>
          <w:p w14:paraId="4429FADB" w14:textId="77777777" w:rsidR="00DB4649" w:rsidRPr="00B72DDB" w:rsidRDefault="00DB4649" w:rsidP="002805F7">
            <w:pPr>
              <w:spacing w:after="0"/>
              <w:rPr>
                <w:rFonts w:ascii="Arial" w:hAnsi="Arial" w:cs="Arial"/>
                <w:sz w:val="20"/>
              </w:rPr>
            </w:pPr>
          </w:p>
          <w:p w14:paraId="19896C51" w14:textId="77777777" w:rsidR="00DB4649" w:rsidRPr="00B72DDB" w:rsidRDefault="00DB4649" w:rsidP="002805F7">
            <w:pPr>
              <w:spacing w:after="0"/>
              <w:rPr>
                <w:rFonts w:ascii="Arial" w:hAnsi="Arial" w:cs="Arial"/>
                <w:sz w:val="20"/>
              </w:rPr>
            </w:pPr>
          </w:p>
          <w:p w14:paraId="480D2136" w14:textId="77777777" w:rsidR="00DB4649" w:rsidRPr="00B72DDB" w:rsidRDefault="00DB4649" w:rsidP="002805F7">
            <w:pPr>
              <w:spacing w:after="0"/>
              <w:rPr>
                <w:rFonts w:ascii="Arial" w:hAnsi="Arial" w:cs="Arial"/>
                <w:b/>
                <w:sz w:val="20"/>
              </w:rPr>
            </w:pPr>
            <w:r w:rsidRPr="00B72DDB">
              <w:rPr>
                <w:rFonts w:ascii="Arial" w:hAnsi="Arial" w:cs="Arial"/>
                <w:b/>
                <w:sz w:val="20"/>
              </w:rPr>
              <w:t>3.3</w:t>
            </w:r>
            <w:r w:rsidRPr="00B72DDB">
              <w:rPr>
                <w:rFonts w:ascii="Arial" w:hAnsi="Arial" w:cs="Arial"/>
                <w:b/>
                <w:sz w:val="20"/>
              </w:rPr>
              <w:tab/>
              <w:t>Population covered</w:t>
            </w:r>
          </w:p>
          <w:p w14:paraId="3AC000E4" w14:textId="77777777" w:rsidR="00DB4649" w:rsidRPr="00B72DDB" w:rsidRDefault="00DB4649" w:rsidP="002805F7">
            <w:pPr>
              <w:spacing w:after="0"/>
              <w:rPr>
                <w:rFonts w:ascii="Arial" w:hAnsi="Arial" w:cs="Arial"/>
                <w:sz w:val="20"/>
              </w:rPr>
            </w:pPr>
          </w:p>
          <w:p w14:paraId="72EEF05C" w14:textId="3D245F5F" w:rsidR="00DB4649" w:rsidRPr="00B72DDB" w:rsidRDefault="00E819BA" w:rsidP="002805F7">
            <w:pPr>
              <w:spacing w:after="0"/>
              <w:rPr>
                <w:rFonts w:ascii="Arial" w:hAnsi="Arial" w:cs="Arial"/>
                <w:sz w:val="20"/>
              </w:rPr>
            </w:pPr>
            <w:r>
              <w:rPr>
                <w:rFonts w:ascii="Arial" w:hAnsi="Arial" w:cs="Arial"/>
                <w:sz w:val="20"/>
              </w:rPr>
              <w:t xml:space="preserve">            </w:t>
            </w:r>
            <w:r w:rsidRPr="00AE56DF">
              <w:rPr>
                <w:rFonts w:ascii="Arial" w:hAnsi="Arial" w:cs="Arial"/>
                <w:sz w:val="20"/>
              </w:rPr>
              <w:t xml:space="preserve">All eligible patients requiring urgent medicines presenting to a participating </w:t>
            </w:r>
            <w:r>
              <w:rPr>
                <w:rFonts w:ascii="Arial" w:hAnsi="Arial" w:cs="Arial"/>
                <w:sz w:val="20"/>
              </w:rPr>
              <w:t>c</w:t>
            </w:r>
            <w:r w:rsidRPr="00AE56DF">
              <w:rPr>
                <w:rFonts w:ascii="Arial" w:hAnsi="Arial" w:cs="Arial"/>
                <w:sz w:val="20"/>
              </w:rPr>
              <w:t>ommunity pharmacy</w:t>
            </w:r>
          </w:p>
          <w:p w14:paraId="5387E8D7" w14:textId="77777777" w:rsidR="00DB4649" w:rsidRPr="00B72DDB" w:rsidRDefault="00DB4649" w:rsidP="002805F7">
            <w:pPr>
              <w:spacing w:after="0"/>
              <w:rPr>
                <w:rFonts w:ascii="Arial" w:hAnsi="Arial" w:cs="Arial"/>
                <w:b/>
                <w:sz w:val="20"/>
              </w:rPr>
            </w:pPr>
            <w:r w:rsidRPr="00B72DDB">
              <w:rPr>
                <w:rFonts w:ascii="Arial" w:hAnsi="Arial" w:cs="Arial"/>
                <w:b/>
                <w:sz w:val="20"/>
              </w:rPr>
              <w:t>3.4</w:t>
            </w:r>
            <w:r w:rsidRPr="00B72DDB">
              <w:rPr>
                <w:rFonts w:ascii="Arial" w:hAnsi="Arial" w:cs="Arial"/>
                <w:b/>
                <w:sz w:val="20"/>
              </w:rPr>
              <w:tab/>
              <w:t>Any acceptance and exclusion criteria and thresholds</w:t>
            </w:r>
          </w:p>
          <w:p w14:paraId="1FFC5DD8" w14:textId="77777777" w:rsidR="00DB4649" w:rsidRPr="00B72DDB" w:rsidRDefault="00DB4649" w:rsidP="002805F7">
            <w:pPr>
              <w:spacing w:after="0"/>
              <w:rPr>
                <w:rFonts w:ascii="Arial" w:hAnsi="Arial" w:cs="Arial"/>
                <w:sz w:val="20"/>
              </w:rPr>
            </w:pPr>
          </w:p>
          <w:p w14:paraId="651BFD8A" w14:textId="77777777" w:rsidR="00E819BA" w:rsidRPr="00AE56DF" w:rsidRDefault="00E819BA" w:rsidP="00E819BA">
            <w:pPr>
              <w:spacing w:after="0"/>
              <w:rPr>
                <w:rFonts w:ascii="Arial" w:hAnsi="Arial" w:cs="Arial"/>
                <w:b/>
                <w:color w:val="009966"/>
                <w:sz w:val="20"/>
              </w:rPr>
            </w:pPr>
          </w:p>
          <w:p w14:paraId="7DDA8FEA" w14:textId="77777777" w:rsidR="00E819BA" w:rsidRPr="00AE56DF" w:rsidRDefault="00E819BA" w:rsidP="00E819BA">
            <w:pPr>
              <w:spacing w:after="0"/>
              <w:ind w:firstLine="743"/>
              <w:rPr>
                <w:rFonts w:ascii="Arial" w:hAnsi="Arial" w:cs="Arial"/>
                <w:sz w:val="20"/>
              </w:rPr>
            </w:pPr>
            <w:r w:rsidRPr="00AE56DF">
              <w:rPr>
                <w:rFonts w:ascii="Arial" w:hAnsi="Arial" w:cs="Arial"/>
                <w:sz w:val="20"/>
              </w:rPr>
              <w:t>Refer to Section 3.2 above</w:t>
            </w:r>
          </w:p>
          <w:p w14:paraId="2FA8E3DD" w14:textId="77777777" w:rsidR="00DB4649" w:rsidRPr="00B72DDB" w:rsidRDefault="00DB4649" w:rsidP="002805F7">
            <w:pPr>
              <w:spacing w:after="0"/>
              <w:rPr>
                <w:rFonts w:ascii="Arial" w:hAnsi="Arial" w:cs="Arial"/>
                <w:sz w:val="20"/>
              </w:rPr>
            </w:pPr>
          </w:p>
          <w:p w14:paraId="7D3A5831" w14:textId="77777777" w:rsidR="00DB4649" w:rsidRPr="00B72DDB" w:rsidRDefault="00DB4649" w:rsidP="002805F7">
            <w:pPr>
              <w:spacing w:after="0"/>
              <w:rPr>
                <w:rFonts w:ascii="Arial" w:hAnsi="Arial" w:cs="Arial"/>
                <w:b/>
                <w:sz w:val="20"/>
              </w:rPr>
            </w:pPr>
            <w:r w:rsidRPr="00B72DDB">
              <w:rPr>
                <w:rFonts w:ascii="Arial" w:hAnsi="Arial" w:cs="Arial"/>
                <w:b/>
                <w:sz w:val="20"/>
              </w:rPr>
              <w:t>3.5</w:t>
            </w:r>
            <w:r w:rsidRPr="00B72DDB">
              <w:rPr>
                <w:rFonts w:ascii="Arial" w:hAnsi="Arial" w:cs="Arial"/>
                <w:b/>
                <w:sz w:val="20"/>
              </w:rPr>
              <w:tab/>
              <w:t>Interdependence with other services/providers</w:t>
            </w:r>
          </w:p>
          <w:p w14:paraId="02F70B82" w14:textId="77777777" w:rsidR="00E819BA" w:rsidRPr="00AE56DF" w:rsidRDefault="00E819BA" w:rsidP="00E819BA">
            <w:pPr>
              <w:spacing w:after="0"/>
              <w:rPr>
                <w:rFonts w:ascii="Arial" w:hAnsi="Arial" w:cs="Arial"/>
                <w:b/>
                <w:color w:val="009966"/>
                <w:sz w:val="20"/>
              </w:rPr>
            </w:pPr>
          </w:p>
          <w:p w14:paraId="5A812562" w14:textId="2104E1EB" w:rsidR="00E819BA" w:rsidRDefault="00E819BA" w:rsidP="00E819BA">
            <w:pPr>
              <w:spacing w:line="276" w:lineRule="auto"/>
              <w:ind w:left="743"/>
              <w:rPr>
                <w:rFonts w:ascii="Arial" w:eastAsiaTheme="minorHAnsi" w:hAnsi="Arial" w:cs="Arial"/>
                <w:sz w:val="20"/>
                <w:lang w:val="en-GB" w:eastAsia="en-US"/>
              </w:rPr>
            </w:pPr>
            <w:r w:rsidRPr="00AE56DF">
              <w:rPr>
                <w:rFonts w:ascii="Arial" w:eastAsiaTheme="minorHAnsi" w:hAnsi="Arial" w:cs="Arial"/>
                <w:sz w:val="20"/>
                <w:lang w:val="en-GB" w:eastAsia="en-US"/>
              </w:rPr>
              <w:t xml:space="preserve">GP </w:t>
            </w:r>
            <w:proofErr w:type="spellStart"/>
            <w:r w:rsidRPr="00AE56DF">
              <w:rPr>
                <w:rFonts w:ascii="Arial" w:eastAsiaTheme="minorHAnsi" w:hAnsi="Arial" w:cs="Arial"/>
                <w:sz w:val="20"/>
                <w:lang w:val="en-GB" w:eastAsia="en-US"/>
              </w:rPr>
              <w:t>Practies</w:t>
            </w:r>
            <w:proofErr w:type="spellEnd"/>
            <w:r w:rsidRPr="00AE56DF">
              <w:rPr>
                <w:rFonts w:ascii="Arial" w:eastAsiaTheme="minorHAnsi" w:hAnsi="Arial" w:cs="Arial"/>
                <w:sz w:val="20"/>
                <w:lang w:val="en-GB" w:eastAsia="en-US"/>
              </w:rPr>
              <w:t>, Out of Hours Service, Other local providers</w:t>
            </w:r>
          </w:p>
          <w:p w14:paraId="3B05C2E5" w14:textId="4105D277" w:rsidR="00E819BA" w:rsidRPr="00E819BA" w:rsidRDefault="00E819BA" w:rsidP="00E819BA">
            <w:pPr>
              <w:spacing w:after="0"/>
              <w:jc w:val="both"/>
              <w:rPr>
                <w:rFonts w:ascii="Arial" w:eastAsia="Times New Roman" w:hAnsi="Arial" w:cs="Arial"/>
                <w:b/>
                <w:bCs/>
                <w:sz w:val="20"/>
                <w:lang w:val="en-GB" w:eastAsia="en-US"/>
              </w:rPr>
            </w:pPr>
            <w:r w:rsidRPr="00E819BA">
              <w:rPr>
                <w:rFonts w:ascii="Arial" w:eastAsia="Times New Roman" w:hAnsi="Arial" w:cs="Arial"/>
                <w:b/>
                <w:bCs/>
                <w:sz w:val="20"/>
                <w:lang w:val="en-GB" w:eastAsia="en-US"/>
              </w:rPr>
              <w:t>3.6</w:t>
            </w:r>
            <w:r>
              <w:rPr>
                <w:rFonts w:ascii="Arial" w:eastAsia="Times New Roman" w:hAnsi="Arial" w:cs="Arial"/>
                <w:b/>
                <w:bCs/>
                <w:sz w:val="20"/>
                <w:lang w:val="en-GB" w:eastAsia="en-US"/>
              </w:rPr>
              <w:t xml:space="preserve">      </w:t>
            </w:r>
            <w:r w:rsidRPr="00E819BA">
              <w:rPr>
                <w:rFonts w:ascii="Arial" w:eastAsia="Times New Roman" w:hAnsi="Arial" w:cs="Arial"/>
                <w:b/>
                <w:bCs/>
                <w:sz w:val="20"/>
                <w:lang w:val="en-GB" w:eastAsia="en-US"/>
              </w:rPr>
              <w:t xml:space="preserve"> Days/hours of operation</w:t>
            </w:r>
          </w:p>
          <w:p w14:paraId="6712973E" w14:textId="77777777" w:rsidR="00E819BA" w:rsidRPr="00AE56DF" w:rsidRDefault="00E819BA" w:rsidP="00E819BA">
            <w:pPr>
              <w:spacing w:after="0"/>
              <w:jc w:val="both"/>
              <w:rPr>
                <w:rFonts w:ascii="Arial" w:eastAsia="Times New Roman" w:hAnsi="Arial" w:cs="Arial"/>
                <w:b/>
                <w:bCs/>
                <w:color w:val="00B050"/>
                <w:sz w:val="20"/>
                <w:lang w:val="en-GB" w:eastAsia="en-US"/>
              </w:rPr>
            </w:pPr>
          </w:p>
          <w:p w14:paraId="4F410D60" w14:textId="77777777" w:rsidR="00E819BA" w:rsidRPr="00AE56DF" w:rsidRDefault="00E819BA" w:rsidP="00E819BA">
            <w:pPr>
              <w:spacing w:after="0" w:line="252" w:lineRule="exact"/>
              <w:ind w:left="820" w:right="56"/>
              <w:jc w:val="both"/>
              <w:rPr>
                <w:rFonts w:ascii="Arial" w:eastAsia="Arial" w:hAnsi="Arial" w:cs="Arial"/>
                <w:sz w:val="20"/>
                <w:lang w:val="en-GB"/>
              </w:rPr>
            </w:pPr>
            <w:r w:rsidRPr="00AE56DF">
              <w:rPr>
                <w:rFonts w:ascii="Arial" w:eastAsia="Arial" w:hAnsi="Arial" w:cs="Arial"/>
                <w:sz w:val="20"/>
                <w:lang w:val="en-GB"/>
              </w:rPr>
              <w:t>This service, as with other locally accredited services, should be available at least five days per week at the accredited community pharmacy. Where the pharmacy is open over the weekend or for rota duties the service must be provided during these out of hours periods.</w:t>
            </w:r>
          </w:p>
          <w:p w14:paraId="0DAAEC47" w14:textId="77777777" w:rsidR="00E819BA" w:rsidRPr="00AE56DF" w:rsidRDefault="00E819BA" w:rsidP="00E819BA">
            <w:pPr>
              <w:spacing w:after="0" w:line="252" w:lineRule="exact"/>
              <w:ind w:left="820" w:right="56"/>
              <w:jc w:val="both"/>
              <w:rPr>
                <w:rFonts w:ascii="Arial" w:eastAsia="Arial" w:hAnsi="Arial" w:cs="Arial"/>
                <w:sz w:val="20"/>
                <w:lang w:val="en-GB"/>
              </w:rPr>
            </w:pPr>
          </w:p>
          <w:p w14:paraId="71370F72" w14:textId="77777777" w:rsidR="00E819BA" w:rsidRPr="00AE56DF" w:rsidRDefault="00E819BA" w:rsidP="00E819BA">
            <w:pPr>
              <w:spacing w:after="0" w:line="252" w:lineRule="exact"/>
              <w:ind w:left="820" w:right="56"/>
              <w:jc w:val="both"/>
              <w:rPr>
                <w:rFonts w:ascii="Arial" w:eastAsia="Arial" w:hAnsi="Arial" w:cs="Arial"/>
                <w:sz w:val="20"/>
                <w:lang w:val="en-GB"/>
              </w:rPr>
            </w:pPr>
            <w:r w:rsidRPr="00AE56DF">
              <w:rPr>
                <w:rFonts w:ascii="Arial" w:eastAsia="Arial" w:hAnsi="Arial" w:cs="Arial"/>
                <w:sz w:val="20"/>
                <w:lang w:val="en-GB"/>
              </w:rPr>
              <w:t>Over busy holiday periods the service may be extended to include provision of repeat medicines in-hours (this will be done in liaison with both LMC and LPC)</w:t>
            </w:r>
          </w:p>
          <w:p w14:paraId="68587655" w14:textId="77777777" w:rsidR="00E819BA" w:rsidRPr="00AE56DF" w:rsidRDefault="00E819BA" w:rsidP="00E819BA">
            <w:pPr>
              <w:spacing w:after="0" w:line="252" w:lineRule="exact"/>
              <w:ind w:left="820" w:right="56"/>
              <w:jc w:val="both"/>
              <w:rPr>
                <w:rFonts w:ascii="Arial" w:eastAsia="Arial" w:hAnsi="Arial" w:cs="Arial"/>
                <w:sz w:val="20"/>
                <w:lang w:val="en-GB"/>
              </w:rPr>
            </w:pPr>
          </w:p>
          <w:p w14:paraId="24C086B4" w14:textId="77777777" w:rsidR="00E819BA" w:rsidRPr="00AE56DF" w:rsidRDefault="00E819BA" w:rsidP="00E819BA">
            <w:pPr>
              <w:spacing w:after="0" w:line="252" w:lineRule="exact"/>
              <w:ind w:left="820" w:right="56"/>
              <w:jc w:val="both"/>
              <w:rPr>
                <w:rFonts w:ascii="Arial" w:eastAsia="Arial" w:hAnsi="Arial" w:cs="Arial"/>
                <w:sz w:val="20"/>
                <w:lang w:val="en-GB"/>
              </w:rPr>
            </w:pPr>
            <w:r w:rsidRPr="00AE56DF">
              <w:rPr>
                <w:rFonts w:ascii="Arial" w:eastAsia="Arial" w:hAnsi="Arial" w:cs="Arial"/>
                <w:sz w:val="20"/>
                <w:lang w:val="en-GB"/>
              </w:rPr>
              <w:t>In emergency situations which may cover smaller local areas or the whole CCG the service may be extended to include provision of repeat medicines in-hours (this will be done in liaison with both LMC and LPC)</w:t>
            </w:r>
          </w:p>
          <w:p w14:paraId="08FC697B" w14:textId="77777777" w:rsidR="00E819BA" w:rsidRPr="00AE56DF" w:rsidRDefault="00E819BA" w:rsidP="00E819BA">
            <w:pPr>
              <w:spacing w:after="0" w:line="252" w:lineRule="exact"/>
              <w:ind w:left="820" w:right="56"/>
              <w:jc w:val="both"/>
              <w:rPr>
                <w:rFonts w:ascii="Arial" w:eastAsia="Arial" w:hAnsi="Arial" w:cs="Arial"/>
                <w:sz w:val="20"/>
                <w:lang w:val="en-GB"/>
              </w:rPr>
            </w:pPr>
          </w:p>
          <w:p w14:paraId="535BBE1A" w14:textId="7300E96B" w:rsidR="00E819BA" w:rsidRDefault="00E819BA" w:rsidP="00E819BA">
            <w:pPr>
              <w:spacing w:line="276" w:lineRule="auto"/>
              <w:ind w:left="743"/>
              <w:rPr>
                <w:rFonts w:ascii="Arial" w:eastAsia="Arial" w:hAnsi="Arial" w:cs="Arial"/>
                <w:sz w:val="20"/>
                <w:lang w:val="en-GB"/>
              </w:rPr>
            </w:pPr>
            <w:r w:rsidRPr="00AE56DF">
              <w:rPr>
                <w:rFonts w:ascii="Arial" w:eastAsia="Arial" w:hAnsi="Arial" w:cs="Arial"/>
                <w:sz w:val="20"/>
                <w:lang w:val="en-GB"/>
              </w:rPr>
              <w:t xml:space="preserve">In </w:t>
            </w:r>
            <w:proofErr w:type="gramStart"/>
            <w:r w:rsidRPr="00AE56DF">
              <w:rPr>
                <w:rFonts w:ascii="Arial" w:eastAsia="Arial" w:hAnsi="Arial" w:cs="Arial"/>
                <w:sz w:val="20"/>
                <w:lang w:val="en-GB"/>
              </w:rPr>
              <w:t>both of the above</w:t>
            </w:r>
            <w:proofErr w:type="gramEnd"/>
            <w:r w:rsidRPr="00AE56DF">
              <w:rPr>
                <w:rFonts w:ascii="Arial" w:eastAsia="Arial" w:hAnsi="Arial" w:cs="Arial"/>
                <w:sz w:val="20"/>
                <w:lang w:val="en-GB"/>
              </w:rPr>
              <w:t xml:space="preserve"> situations those pharmacies providing this service will be notified in writing prior to the extension</w:t>
            </w:r>
          </w:p>
          <w:p w14:paraId="114690E5" w14:textId="77777777" w:rsidR="00E819BA" w:rsidRPr="00AE56DF" w:rsidRDefault="00E819BA" w:rsidP="00E819BA">
            <w:pPr>
              <w:spacing w:after="0"/>
              <w:jc w:val="both"/>
              <w:rPr>
                <w:rFonts w:ascii="Arial" w:eastAsia="Times New Roman" w:hAnsi="Arial" w:cs="Arial"/>
                <w:bCs/>
                <w:color w:val="000000"/>
                <w:sz w:val="20"/>
                <w:lang w:val="en-GB" w:eastAsia="en-US"/>
              </w:rPr>
            </w:pPr>
          </w:p>
          <w:p w14:paraId="5B314C33" w14:textId="77777777" w:rsidR="00E819BA" w:rsidRPr="00E819BA" w:rsidRDefault="00E819BA" w:rsidP="00E819BA">
            <w:pPr>
              <w:spacing w:after="0"/>
              <w:jc w:val="both"/>
              <w:rPr>
                <w:rFonts w:ascii="Arial" w:eastAsia="Times New Roman" w:hAnsi="Arial" w:cs="Arial"/>
                <w:b/>
                <w:bCs/>
                <w:sz w:val="20"/>
                <w:lang w:val="en-GB" w:eastAsia="en-US"/>
              </w:rPr>
            </w:pPr>
            <w:r w:rsidRPr="00E819BA">
              <w:rPr>
                <w:rFonts w:ascii="Arial" w:eastAsia="Times New Roman" w:hAnsi="Arial" w:cs="Arial"/>
                <w:b/>
                <w:bCs/>
                <w:sz w:val="20"/>
                <w:lang w:val="en-GB" w:eastAsia="en-US"/>
              </w:rPr>
              <w:t>3.7 Referral criteria and sources and outline of referral processes</w:t>
            </w:r>
          </w:p>
          <w:p w14:paraId="0D452469" w14:textId="77777777" w:rsidR="00E819BA" w:rsidRPr="00AE56DF" w:rsidRDefault="00E819BA" w:rsidP="00E819BA">
            <w:pPr>
              <w:spacing w:after="0"/>
              <w:jc w:val="both"/>
              <w:rPr>
                <w:rFonts w:ascii="Arial" w:eastAsia="Times New Roman" w:hAnsi="Arial" w:cs="Arial"/>
                <w:b/>
                <w:bCs/>
                <w:color w:val="00B050"/>
                <w:sz w:val="20"/>
                <w:lang w:val="en-GB" w:eastAsia="en-US"/>
              </w:rPr>
            </w:pPr>
          </w:p>
          <w:p w14:paraId="3092887E" w14:textId="77777777" w:rsidR="00E819BA" w:rsidRPr="00AE56DF" w:rsidRDefault="00E819BA" w:rsidP="00E819BA">
            <w:pPr>
              <w:spacing w:after="0"/>
              <w:ind w:left="885"/>
              <w:jc w:val="both"/>
              <w:rPr>
                <w:rFonts w:ascii="Arial" w:eastAsia="Times New Roman" w:hAnsi="Arial" w:cs="Arial"/>
                <w:bCs/>
                <w:sz w:val="20"/>
                <w:lang w:eastAsia="en-US"/>
              </w:rPr>
            </w:pPr>
            <w:r w:rsidRPr="00AE56DF">
              <w:rPr>
                <w:rFonts w:ascii="Arial" w:eastAsia="Times New Roman" w:hAnsi="Arial" w:cs="Arial"/>
                <w:bCs/>
                <w:sz w:val="20"/>
                <w:lang w:eastAsia="en-US"/>
              </w:rPr>
              <w:t>Refer to Section 3.2 above</w:t>
            </w:r>
          </w:p>
          <w:p w14:paraId="008B1408" w14:textId="77777777" w:rsidR="00E819BA" w:rsidRPr="00AE56DF" w:rsidRDefault="00E819BA" w:rsidP="00E819BA">
            <w:pPr>
              <w:spacing w:after="0"/>
              <w:jc w:val="both"/>
              <w:rPr>
                <w:rFonts w:ascii="Arial" w:eastAsia="Times New Roman" w:hAnsi="Arial" w:cs="Arial"/>
                <w:bCs/>
                <w:color w:val="000000"/>
                <w:sz w:val="20"/>
                <w:lang w:val="en-GB" w:eastAsia="en-US"/>
              </w:rPr>
            </w:pPr>
          </w:p>
          <w:p w14:paraId="728C2A9B" w14:textId="77777777" w:rsidR="00E819BA" w:rsidRPr="00E819BA" w:rsidRDefault="00E819BA" w:rsidP="00E819BA">
            <w:pPr>
              <w:spacing w:after="0"/>
              <w:jc w:val="both"/>
              <w:rPr>
                <w:rFonts w:ascii="Arial" w:eastAsia="Times New Roman" w:hAnsi="Arial" w:cs="Arial"/>
                <w:b/>
                <w:bCs/>
                <w:sz w:val="20"/>
                <w:lang w:val="en-GB" w:eastAsia="en-US"/>
              </w:rPr>
            </w:pPr>
            <w:r w:rsidRPr="00E819BA">
              <w:rPr>
                <w:rFonts w:ascii="Arial" w:eastAsia="Times New Roman" w:hAnsi="Arial" w:cs="Arial"/>
                <w:b/>
                <w:bCs/>
                <w:sz w:val="20"/>
                <w:lang w:val="en-GB" w:eastAsia="en-US"/>
              </w:rPr>
              <w:t>3.8 Discharge processes</w:t>
            </w:r>
          </w:p>
          <w:p w14:paraId="064B62E4" w14:textId="77777777" w:rsidR="00E819BA" w:rsidRPr="00AE56DF" w:rsidRDefault="00E819BA" w:rsidP="00E819BA">
            <w:pPr>
              <w:spacing w:after="0"/>
              <w:jc w:val="both"/>
              <w:rPr>
                <w:rFonts w:ascii="Arial" w:eastAsia="Times New Roman" w:hAnsi="Arial" w:cs="Arial"/>
                <w:b/>
                <w:bCs/>
                <w:color w:val="00B050"/>
                <w:sz w:val="20"/>
                <w:lang w:val="en-GB" w:eastAsia="en-US"/>
              </w:rPr>
            </w:pPr>
          </w:p>
          <w:p w14:paraId="151D771C" w14:textId="77777777" w:rsidR="00E819BA" w:rsidRDefault="00E819BA" w:rsidP="00E819BA">
            <w:pPr>
              <w:spacing w:after="0"/>
              <w:ind w:left="885"/>
              <w:rPr>
                <w:rFonts w:ascii="Arial" w:eastAsia="Arial" w:hAnsi="Arial" w:cs="Arial"/>
                <w:sz w:val="20"/>
                <w:lang w:val="en-GB"/>
              </w:rPr>
            </w:pPr>
            <w:r w:rsidRPr="00AE56DF">
              <w:rPr>
                <w:rFonts w:ascii="Arial" w:eastAsia="Arial" w:hAnsi="Arial" w:cs="Arial"/>
                <w:sz w:val="20"/>
                <w:lang w:val="en-GB"/>
              </w:rPr>
              <w:t xml:space="preserve">Not applicable </w:t>
            </w:r>
          </w:p>
          <w:p w14:paraId="266F1C14" w14:textId="77777777" w:rsidR="00E819BA" w:rsidRPr="00E819BA" w:rsidRDefault="00E819BA" w:rsidP="00E819BA">
            <w:pPr>
              <w:spacing w:after="0"/>
              <w:ind w:left="885"/>
              <w:rPr>
                <w:rFonts w:ascii="Arial" w:eastAsia="Times New Roman" w:hAnsi="Arial" w:cs="Arial"/>
                <w:b/>
                <w:bCs/>
                <w:sz w:val="20"/>
                <w:lang w:val="en-GB" w:eastAsia="en-US"/>
              </w:rPr>
            </w:pPr>
          </w:p>
          <w:p w14:paraId="0F94F9DE" w14:textId="77777777" w:rsidR="00E819BA" w:rsidRPr="00E819BA" w:rsidRDefault="00E819BA" w:rsidP="00E819BA">
            <w:pPr>
              <w:spacing w:after="0"/>
              <w:jc w:val="both"/>
              <w:rPr>
                <w:rFonts w:ascii="Arial" w:eastAsia="Times New Roman" w:hAnsi="Arial" w:cs="Arial"/>
                <w:b/>
                <w:bCs/>
                <w:sz w:val="20"/>
                <w:lang w:val="en-GB" w:eastAsia="en-US"/>
              </w:rPr>
            </w:pPr>
            <w:r w:rsidRPr="00E819BA">
              <w:rPr>
                <w:rFonts w:ascii="Arial" w:eastAsia="Times New Roman" w:hAnsi="Arial" w:cs="Arial"/>
                <w:b/>
                <w:bCs/>
                <w:sz w:val="20"/>
                <w:lang w:val="en-GB" w:eastAsia="en-US"/>
              </w:rPr>
              <w:t>3.9 Response time and prioritisation</w:t>
            </w:r>
          </w:p>
          <w:p w14:paraId="614281E1" w14:textId="77777777" w:rsidR="00E819BA" w:rsidRPr="00AE56DF" w:rsidRDefault="00E819BA" w:rsidP="00E819BA">
            <w:pPr>
              <w:spacing w:after="0"/>
              <w:jc w:val="both"/>
              <w:rPr>
                <w:rFonts w:ascii="Arial" w:eastAsia="Times New Roman" w:hAnsi="Arial" w:cs="Arial"/>
                <w:b/>
                <w:bCs/>
                <w:color w:val="00B050"/>
                <w:sz w:val="20"/>
                <w:lang w:val="en-GB" w:eastAsia="en-US"/>
              </w:rPr>
            </w:pPr>
          </w:p>
          <w:p w14:paraId="4F7D7279" w14:textId="77777777" w:rsidR="00E819BA" w:rsidRPr="00AE56DF" w:rsidRDefault="00E819BA" w:rsidP="00E819BA">
            <w:pPr>
              <w:spacing w:after="0"/>
              <w:ind w:left="885"/>
              <w:jc w:val="both"/>
              <w:rPr>
                <w:rFonts w:ascii="Arial" w:eastAsia="Times New Roman" w:hAnsi="Arial" w:cs="Arial"/>
                <w:bCs/>
                <w:sz w:val="20"/>
                <w:lang w:val="en-GB" w:eastAsia="en-US"/>
              </w:rPr>
            </w:pPr>
            <w:r w:rsidRPr="00AE56DF">
              <w:rPr>
                <w:rFonts w:ascii="Arial" w:eastAsia="Times New Roman" w:hAnsi="Arial" w:cs="Arial"/>
                <w:bCs/>
                <w:sz w:val="20"/>
                <w:lang w:val="en-GB" w:eastAsia="en-US"/>
              </w:rPr>
              <w:t>Refer to Section 3.2 above</w:t>
            </w:r>
          </w:p>
          <w:p w14:paraId="1A9D6EB7" w14:textId="77777777" w:rsidR="00E819BA" w:rsidRPr="00E819BA" w:rsidRDefault="00E819BA" w:rsidP="00E819BA">
            <w:pPr>
              <w:spacing w:after="0"/>
              <w:jc w:val="both"/>
              <w:rPr>
                <w:rFonts w:ascii="Arial" w:eastAsia="Times New Roman" w:hAnsi="Arial" w:cs="Arial"/>
                <w:color w:val="000000" w:themeColor="text1"/>
                <w:sz w:val="20"/>
                <w:lang w:val="en-GB" w:eastAsia="en-US"/>
              </w:rPr>
            </w:pPr>
          </w:p>
          <w:p w14:paraId="24AD2565" w14:textId="77777777" w:rsidR="00E819BA" w:rsidRPr="00E819BA" w:rsidRDefault="00E819BA" w:rsidP="00E819BA">
            <w:pPr>
              <w:spacing w:after="0"/>
              <w:jc w:val="both"/>
              <w:rPr>
                <w:rFonts w:ascii="Arial" w:eastAsia="Times New Roman" w:hAnsi="Arial" w:cs="Arial"/>
                <w:b/>
                <w:bCs/>
                <w:color w:val="000000" w:themeColor="text1"/>
                <w:sz w:val="20"/>
                <w:lang w:val="en-GB" w:eastAsia="en-US"/>
              </w:rPr>
            </w:pPr>
            <w:proofErr w:type="gramStart"/>
            <w:r w:rsidRPr="00E819BA">
              <w:rPr>
                <w:rFonts w:ascii="Arial" w:eastAsia="Times New Roman" w:hAnsi="Arial" w:cs="Arial"/>
                <w:b/>
                <w:bCs/>
                <w:color w:val="000000" w:themeColor="text1"/>
                <w:sz w:val="20"/>
                <w:lang w:val="en-GB" w:eastAsia="en-US"/>
              </w:rPr>
              <w:t>3.10  Fees</w:t>
            </w:r>
            <w:proofErr w:type="gramEnd"/>
          </w:p>
          <w:p w14:paraId="21804F09" w14:textId="77777777" w:rsidR="00E819BA" w:rsidRPr="00AE56DF" w:rsidRDefault="00E819BA" w:rsidP="00E819BA">
            <w:pPr>
              <w:spacing w:after="0"/>
              <w:jc w:val="both"/>
              <w:rPr>
                <w:rFonts w:ascii="Arial" w:eastAsia="Times New Roman" w:hAnsi="Arial" w:cs="Arial"/>
                <w:b/>
                <w:bCs/>
                <w:color w:val="00B050"/>
                <w:sz w:val="20"/>
                <w:lang w:val="en-GB" w:eastAsia="en-US"/>
              </w:rPr>
            </w:pPr>
          </w:p>
          <w:p w14:paraId="5264E0B7" w14:textId="77777777" w:rsidR="00E819BA" w:rsidRPr="00AE56DF" w:rsidRDefault="00E819BA" w:rsidP="00E819BA">
            <w:pPr>
              <w:spacing w:after="0"/>
              <w:ind w:left="885"/>
              <w:jc w:val="both"/>
              <w:rPr>
                <w:rFonts w:ascii="Arial" w:eastAsia="Times New Roman" w:hAnsi="Arial" w:cs="Arial"/>
                <w:bCs/>
                <w:sz w:val="20"/>
                <w:lang w:val="en-GB" w:eastAsia="en-US"/>
              </w:rPr>
            </w:pPr>
            <w:r w:rsidRPr="00AE56DF">
              <w:rPr>
                <w:rFonts w:ascii="Arial" w:eastAsia="Times New Roman" w:hAnsi="Arial" w:cs="Arial"/>
                <w:bCs/>
                <w:sz w:val="20"/>
                <w:lang w:val="en-GB" w:eastAsia="en-US"/>
              </w:rPr>
              <w:t>NHS Kernow will pay the following:</w:t>
            </w:r>
          </w:p>
          <w:p w14:paraId="030D9B29" w14:textId="77777777" w:rsidR="00E819BA" w:rsidRPr="00AE56DF" w:rsidRDefault="00E819BA" w:rsidP="00E819BA">
            <w:pPr>
              <w:spacing w:after="0"/>
              <w:ind w:left="885"/>
              <w:jc w:val="both"/>
              <w:rPr>
                <w:rFonts w:ascii="Arial" w:eastAsia="Times New Roman" w:hAnsi="Arial" w:cs="Arial"/>
                <w:bCs/>
                <w:sz w:val="20"/>
                <w:lang w:val="en-GB" w:eastAsia="en-US"/>
              </w:rPr>
            </w:pPr>
          </w:p>
          <w:p w14:paraId="3C061CBB" w14:textId="77777777" w:rsidR="00E819BA" w:rsidRPr="00AE56DF" w:rsidRDefault="00E819BA" w:rsidP="00E819BA">
            <w:pPr>
              <w:spacing w:after="0"/>
              <w:ind w:left="885"/>
              <w:jc w:val="both"/>
              <w:rPr>
                <w:rFonts w:ascii="Arial" w:eastAsia="Times New Roman" w:hAnsi="Arial" w:cs="Arial"/>
                <w:bCs/>
                <w:sz w:val="20"/>
                <w:lang w:val="en-GB" w:eastAsia="en-US"/>
              </w:rPr>
            </w:pPr>
            <w:r w:rsidRPr="00AE56DF">
              <w:rPr>
                <w:rFonts w:ascii="Arial" w:eastAsia="Times New Roman" w:hAnsi="Arial" w:cs="Arial"/>
                <w:bCs/>
                <w:sz w:val="20"/>
                <w:lang w:val="en-GB" w:eastAsia="en-US"/>
              </w:rPr>
              <w:t>A professional fee of £9.50</w:t>
            </w:r>
            <w:r w:rsidRPr="00AE56DF">
              <w:rPr>
                <w:rFonts w:ascii="Arial" w:eastAsia="Times New Roman" w:hAnsi="Arial" w:cs="Arial"/>
                <w:b/>
                <w:bCs/>
                <w:sz w:val="20"/>
                <w:lang w:val="en-GB" w:eastAsia="en-US"/>
              </w:rPr>
              <w:t xml:space="preserve"> </w:t>
            </w:r>
            <w:r w:rsidRPr="00AE56DF">
              <w:rPr>
                <w:rFonts w:ascii="Arial" w:eastAsia="Times New Roman" w:hAnsi="Arial" w:cs="Arial"/>
                <w:bCs/>
                <w:sz w:val="20"/>
                <w:lang w:val="en-GB" w:eastAsia="en-US"/>
              </w:rPr>
              <w:t>will be paid for each emergency supply at the request of the patient. If more than one medicine is supplied to an individual patient, an additional fee of £0.95 will be paid for each additional item supplied.</w:t>
            </w:r>
          </w:p>
          <w:p w14:paraId="51890B8D" w14:textId="77777777" w:rsidR="00E819BA" w:rsidRPr="00AE56DF" w:rsidRDefault="00E819BA" w:rsidP="00E819BA">
            <w:pPr>
              <w:spacing w:after="0"/>
              <w:ind w:left="885"/>
              <w:jc w:val="both"/>
              <w:rPr>
                <w:rFonts w:ascii="Arial" w:eastAsia="Times New Roman" w:hAnsi="Arial" w:cs="Arial"/>
                <w:bCs/>
                <w:sz w:val="20"/>
                <w:lang w:val="en-GB" w:eastAsia="en-US"/>
              </w:rPr>
            </w:pPr>
          </w:p>
          <w:p w14:paraId="118CF3FF" w14:textId="77777777" w:rsidR="00E819BA" w:rsidRPr="00AE56DF" w:rsidRDefault="00E819BA" w:rsidP="00E819BA">
            <w:pPr>
              <w:spacing w:after="0"/>
              <w:ind w:left="885"/>
              <w:jc w:val="both"/>
              <w:rPr>
                <w:rFonts w:ascii="Arial" w:eastAsia="Times New Roman" w:hAnsi="Arial" w:cs="Arial"/>
                <w:bCs/>
                <w:sz w:val="20"/>
                <w:lang w:val="en-GB" w:eastAsia="en-US"/>
              </w:rPr>
            </w:pPr>
            <w:r w:rsidRPr="00AE56DF">
              <w:rPr>
                <w:rFonts w:ascii="Arial" w:eastAsia="Times New Roman" w:hAnsi="Arial" w:cs="Arial"/>
                <w:bCs/>
                <w:sz w:val="20"/>
                <w:lang w:val="en-GB" w:eastAsia="en-US"/>
              </w:rPr>
              <w:t>The cost of the medicine supplied (guided by Drug Tariff prices) plus VAT will be reimbursed by the commissioner.</w:t>
            </w:r>
          </w:p>
          <w:p w14:paraId="677933F5" w14:textId="77777777" w:rsidR="00E819BA" w:rsidRPr="00AE56DF" w:rsidRDefault="00E819BA" w:rsidP="00E819BA">
            <w:pPr>
              <w:spacing w:after="0"/>
              <w:ind w:left="885"/>
              <w:jc w:val="both"/>
              <w:rPr>
                <w:rFonts w:ascii="Arial" w:eastAsia="Times New Roman" w:hAnsi="Arial" w:cs="Arial"/>
                <w:bCs/>
                <w:sz w:val="20"/>
                <w:lang w:val="en-GB" w:eastAsia="en-US"/>
              </w:rPr>
            </w:pPr>
          </w:p>
          <w:p w14:paraId="2FCB324B" w14:textId="77777777" w:rsidR="00E819BA" w:rsidRPr="00AE56DF" w:rsidRDefault="00E819BA" w:rsidP="00E819BA">
            <w:pPr>
              <w:spacing w:after="0"/>
              <w:ind w:left="885"/>
              <w:jc w:val="both"/>
              <w:rPr>
                <w:rFonts w:ascii="Arial" w:eastAsia="Times New Roman" w:hAnsi="Arial" w:cs="Arial"/>
                <w:bCs/>
                <w:sz w:val="20"/>
                <w:lang w:val="en-GB" w:eastAsia="en-US"/>
              </w:rPr>
            </w:pPr>
            <w:r w:rsidRPr="00AE56DF">
              <w:rPr>
                <w:rFonts w:ascii="Arial" w:eastAsia="Times New Roman" w:hAnsi="Arial" w:cs="Arial"/>
                <w:bCs/>
                <w:sz w:val="20"/>
                <w:lang w:eastAsia="en-US"/>
              </w:rPr>
              <w:t xml:space="preserve">A prescription charge should be collected unless the patient is exempt in accordance with the NHS charges for Drugs and Appliances Regulations. </w:t>
            </w:r>
            <w:r w:rsidRPr="00AE56DF">
              <w:rPr>
                <w:rFonts w:ascii="Arial" w:eastAsia="Times New Roman" w:hAnsi="Arial" w:cs="Arial"/>
                <w:bCs/>
                <w:sz w:val="20"/>
                <w:lang w:val="en-GB" w:eastAsia="en-US"/>
              </w:rPr>
              <w:t>Any prescription charges collected from patients will be deducted from the sum payable to the pharmacy.</w:t>
            </w:r>
          </w:p>
          <w:p w14:paraId="21553D7E" w14:textId="77777777" w:rsidR="00E819BA" w:rsidRPr="00AE56DF" w:rsidRDefault="00E819BA" w:rsidP="00E819BA">
            <w:pPr>
              <w:spacing w:after="0"/>
              <w:ind w:left="885"/>
              <w:jc w:val="both"/>
              <w:rPr>
                <w:rFonts w:ascii="Arial" w:eastAsia="Times New Roman" w:hAnsi="Arial" w:cs="Arial"/>
                <w:bCs/>
                <w:sz w:val="20"/>
                <w:lang w:val="en-GB" w:eastAsia="en-US"/>
              </w:rPr>
            </w:pPr>
          </w:p>
          <w:p w14:paraId="0507A4B6" w14:textId="5E24C0DF" w:rsidR="00E819BA" w:rsidRPr="00AE56DF" w:rsidRDefault="00E819BA" w:rsidP="00E819BA">
            <w:pPr>
              <w:spacing w:line="276" w:lineRule="auto"/>
              <w:ind w:left="743"/>
              <w:rPr>
                <w:rFonts w:ascii="Arial" w:eastAsiaTheme="minorHAnsi" w:hAnsi="Arial" w:cs="Arial"/>
                <w:sz w:val="20"/>
                <w:lang w:val="en-GB" w:eastAsia="en-US"/>
              </w:rPr>
            </w:pPr>
            <w:r>
              <w:rPr>
                <w:rFonts w:ascii="Arial" w:eastAsia="Times New Roman" w:hAnsi="Arial" w:cs="Arial"/>
                <w:bCs/>
                <w:sz w:val="20"/>
                <w:lang w:val="en-GB" w:eastAsia="en-US"/>
              </w:rPr>
              <w:t>Pharmacists must enter the supply of the patient’s medication and must complete all relevant fields on the system.  This will generate the payment.  All details of dispenses on the system by the end of the month will be included in the next export of invoices from Pharm outcomes.  It is expected that claims should be entered whilst with the patient as the system guides the dispensing and claim.  Where this is not possible the claim should be made as soon as possible within 7 days as information about supplies made will then reach GPs in the appropriate timescales and help prevent duplicate supplies made by another</w:t>
            </w:r>
          </w:p>
          <w:p w14:paraId="425657DF" w14:textId="77777777" w:rsidR="00DB4649" w:rsidRPr="00B72DDB" w:rsidRDefault="00DB4649" w:rsidP="002805F7">
            <w:pPr>
              <w:spacing w:after="0"/>
              <w:rPr>
                <w:rFonts w:ascii="Arial" w:hAnsi="Arial" w:cs="Arial"/>
                <w:sz w:val="20"/>
              </w:rPr>
            </w:pPr>
          </w:p>
          <w:p w14:paraId="0575DA76" w14:textId="77777777" w:rsidR="00DB4649" w:rsidRPr="00B72DDB" w:rsidRDefault="00DB4649" w:rsidP="002805F7">
            <w:pPr>
              <w:spacing w:after="0"/>
              <w:rPr>
                <w:rFonts w:ascii="Arial" w:hAnsi="Arial" w:cs="Arial"/>
                <w:sz w:val="20"/>
              </w:rPr>
            </w:pPr>
          </w:p>
        </w:tc>
      </w:tr>
      <w:tr w:rsidR="00DB4649" w:rsidRPr="00B72DDB" w14:paraId="53945C42" w14:textId="77777777" w:rsidTr="002805F7">
        <w:tc>
          <w:tcPr>
            <w:tcW w:w="8414" w:type="dxa"/>
            <w:shd w:val="clear" w:color="auto" w:fill="auto"/>
          </w:tcPr>
          <w:p w14:paraId="677D78E8" w14:textId="77777777" w:rsidR="00DB4649" w:rsidRPr="00B72DDB" w:rsidRDefault="00DB4649" w:rsidP="002805F7">
            <w:pPr>
              <w:spacing w:after="0" w:line="276" w:lineRule="auto"/>
              <w:rPr>
                <w:rFonts w:ascii="Arial" w:hAnsi="Arial" w:cs="Arial"/>
                <w:b/>
              </w:rPr>
            </w:pPr>
            <w:r w:rsidRPr="00B72DDB">
              <w:rPr>
                <w:rFonts w:ascii="Arial" w:hAnsi="Arial" w:cs="Arial"/>
                <w:b/>
              </w:rPr>
              <w:lastRenderedPageBreak/>
              <w:t>4.</w:t>
            </w:r>
            <w:r w:rsidRPr="00B72DDB">
              <w:rPr>
                <w:rFonts w:ascii="Arial" w:hAnsi="Arial" w:cs="Arial"/>
                <w:b/>
              </w:rPr>
              <w:tab/>
              <w:t>Applicable Service Standards</w:t>
            </w:r>
          </w:p>
        </w:tc>
      </w:tr>
      <w:tr w:rsidR="00DB4649" w:rsidRPr="00B72DDB" w14:paraId="266C3C87" w14:textId="77777777" w:rsidTr="002805F7">
        <w:tc>
          <w:tcPr>
            <w:tcW w:w="8414" w:type="dxa"/>
            <w:shd w:val="clear" w:color="auto" w:fill="auto"/>
          </w:tcPr>
          <w:p w14:paraId="7DA4331A" w14:textId="77777777" w:rsidR="00DB4649" w:rsidRPr="00B72DDB" w:rsidRDefault="00DB4649" w:rsidP="002805F7">
            <w:pPr>
              <w:spacing w:after="0"/>
              <w:rPr>
                <w:rFonts w:ascii="Arial" w:hAnsi="Arial" w:cs="Arial"/>
                <w:sz w:val="20"/>
              </w:rPr>
            </w:pPr>
          </w:p>
          <w:p w14:paraId="1F497890" w14:textId="77777777" w:rsidR="00DB4649" w:rsidRPr="00B72DDB" w:rsidRDefault="00DB4649" w:rsidP="002805F7">
            <w:pPr>
              <w:spacing w:after="0"/>
              <w:rPr>
                <w:rFonts w:ascii="Arial" w:hAnsi="Arial" w:cs="Arial"/>
                <w:b/>
                <w:sz w:val="20"/>
              </w:rPr>
            </w:pPr>
            <w:r w:rsidRPr="00B72DDB">
              <w:rPr>
                <w:rFonts w:ascii="Arial" w:hAnsi="Arial" w:cs="Arial"/>
                <w:b/>
                <w:sz w:val="20"/>
              </w:rPr>
              <w:t>4.1</w:t>
            </w:r>
            <w:r w:rsidRPr="00B72DDB">
              <w:rPr>
                <w:rFonts w:ascii="Arial" w:hAnsi="Arial" w:cs="Arial"/>
                <w:b/>
                <w:sz w:val="20"/>
              </w:rPr>
              <w:tab/>
              <w:t>Applicable national standards (</w:t>
            </w:r>
            <w:proofErr w:type="spellStart"/>
            <w:proofErr w:type="gramStart"/>
            <w:r w:rsidRPr="00B72DDB">
              <w:rPr>
                <w:rFonts w:ascii="Arial" w:hAnsi="Arial" w:cs="Arial"/>
                <w:b/>
                <w:sz w:val="20"/>
              </w:rPr>
              <w:t>eg</w:t>
            </w:r>
            <w:proofErr w:type="spellEnd"/>
            <w:proofErr w:type="gramEnd"/>
            <w:r w:rsidRPr="00B72DDB">
              <w:rPr>
                <w:rFonts w:ascii="Arial" w:hAnsi="Arial" w:cs="Arial"/>
                <w:b/>
                <w:sz w:val="20"/>
              </w:rPr>
              <w:t xml:space="preserve"> NICE)</w:t>
            </w:r>
          </w:p>
          <w:p w14:paraId="6C513E4D" w14:textId="77777777" w:rsidR="00E819BA" w:rsidRPr="00AE56DF" w:rsidRDefault="00E819BA" w:rsidP="00E819BA">
            <w:pPr>
              <w:spacing w:after="0"/>
              <w:rPr>
                <w:rFonts w:ascii="Arial" w:hAnsi="Arial" w:cs="Arial"/>
                <w:color w:val="009966"/>
                <w:sz w:val="20"/>
              </w:rPr>
            </w:pPr>
          </w:p>
          <w:p w14:paraId="03CFF0B6" w14:textId="77777777" w:rsidR="00E819BA" w:rsidRPr="00AE56DF" w:rsidRDefault="00E819BA" w:rsidP="00E819BA">
            <w:pPr>
              <w:spacing w:after="0"/>
              <w:ind w:left="743"/>
              <w:rPr>
                <w:rFonts w:ascii="Arial" w:hAnsi="Arial" w:cs="Arial"/>
                <w:sz w:val="20"/>
                <w:lang w:val="en-GB"/>
              </w:rPr>
            </w:pPr>
            <w:r w:rsidRPr="00AE56DF">
              <w:rPr>
                <w:rFonts w:ascii="Arial" w:hAnsi="Arial" w:cs="Arial"/>
                <w:sz w:val="20"/>
              </w:rPr>
              <w:t xml:space="preserve">NICE Guideline NG5: </w:t>
            </w:r>
            <w:r w:rsidRPr="00AE56DF">
              <w:rPr>
                <w:rFonts w:ascii="Arial" w:hAnsi="Arial" w:cs="Arial"/>
                <w:sz w:val="20"/>
                <w:lang w:val="en-GB"/>
              </w:rPr>
              <w:t>Medicines optimisation: the safe and effective use of medicines to enable the best possible outcomes</w:t>
            </w:r>
          </w:p>
          <w:p w14:paraId="60A2F990" w14:textId="77777777" w:rsidR="00DB4649" w:rsidRPr="00B72DDB" w:rsidRDefault="00DB4649" w:rsidP="002805F7">
            <w:pPr>
              <w:spacing w:after="0"/>
              <w:rPr>
                <w:rFonts w:ascii="Arial" w:hAnsi="Arial" w:cs="Arial"/>
                <w:sz w:val="20"/>
              </w:rPr>
            </w:pPr>
          </w:p>
          <w:p w14:paraId="674CED91" w14:textId="77777777" w:rsidR="00DB4649" w:rsidRPr="00B72DDB" w:rsidRDefault="00DB4649" w:rsidP="002805F7">
            <w:pPr>
              <w:spacing w:after="0"/>
              <w:rPr>
                <w:rFonts w:ascii="Arial" w:hAnsi="Arial" w:cs="Arial"/>
                <w:sz w:val="20"/>
              </w:rPr>
            </w:pPr>
          </w:p>
          <w:p w14:paraId="0D42AEDE" w14:textId="77777777" w:rsidR="00DB4649" w:rsidRPr="00B72DDB" w:rsidRDefault="00DB4649" w:rsidP="002805F7">
            <w:pPr>
              <w:spacing w:after="0"/>
              <w:ind w:left="743" w:hanging="743"/>
              <w:rPr>
                <w:rFonts w:ascii="Arial" w:hAnsi="Arial" w:cs="Arial"/>
                <w:b/>
                <w:sz w:val="20"/>
              </w:rPr>
            </w:pPr>
            <w:r w:rsidRPr="00B72DDB">
              <w:rPr>
                <w:rFonts w:ascii="Arial" w:hAnsi="Arial" w:cs="Arial"/>
                <w:b/>
                <w:sz w:val="20"/>
              </w:rPr>
              <w:t>4.2</w:t>
            </w:r>
            <w:r w:rsidRPr="00B72DDB">
              <w:rPr>
                <w:rFonts w:ascii="Arial" w:hAnsi="Arial" w:cs="Arial"/>
                <w:b/>
                <w:sz w:val="20"/>
              </w:rPr>
              <w:tab/>
              <w:t>Applicable standards set out in Guidance and/or issued by a competent body (</w:t>
            </w:r>
            <w:proofErr w:type="spellStart"/>
            <w:proofErr w:type="gramStart"/>
            <w:r w:rsidRPr="00B72DDB">
              <w:rPr>
                <w:rFonts w:ascii="Arial" w:hAnsi="Arial" w:cs="Arial"/>
                <w:b/>
                <w:sz w:val="20"/>
              </w:rPr>
              <w:t>eg</w:t>
            </w:r>
            <w:proofErr w:type="spellEnd"/>
            <w:proofErr w:type="gramEnd"/>
            <w:r w:rsidRPr="00B72DDB">
              <w:rPr>
                <w:rFonts w:ascii="Arial" w:hAnsi="Arial" w:cs="Arial"/>
                <w:b/>
                <w:sz w:val="20"/>
              </w:rPr>
              <w:t xml:space="preserve"> Royal Colleges)</w:t>
            </w:r>
          </w:p>
          <w:p w14:paraId="523B304C" w14:textId="77329EFF" w:rsidR="00DB4649" w:rsidRDefault="00DB4649" w:rsidP="002805F7">
            <w:pPr>
              <w:spacing w:after="0"/>
              <w:ind w:left="743" w:hanging="743"/>
              <w:rPr>
                <w:rFonts w:ascii="Arial" w:hAnsi="Arial" w:cs="Arial"/>
                <w:sz w:val="20"/>
              </w:rPr>
            </w:pPr>
          </w:p>
          <w:p w14:paraId="6B3E97BC" w14:textId="77777777" w:rsidR="00E819BA" w:rsidRPr="00AE56DF" w:rsidRDefault="00E819BA" w:rsidP="00E819BA">
            <w:pPr>
              <w:spacing w:after="0"/>
              <w:ind w:left="743"/>
              <w:rPr>
                <w:rFonts w:ascii="Arial" w:hAnsi="Arial" w:cs="Arial"/>
                <w:sz w:val="20"/>
              </w:rPr>
            </w:pPr>
            <w:r w:rsidRPr="00AE56DF">
              <w:rPr>
                <w:rFonts w:ascii="Arial" w:hAnsi="Arial" w:cs="Arial"/>
                <w:sz w:val="20"/>
              </w:rPr>
              <w:t>General Pharmaceutical Council (</w:t>
            </w:r>
            <w:proofErr w:type="spellStart"/>
            <w:r w:rsidRPr="00AE56DF">
              <w:rPr>
                <w:rFonts w:ascii="Arial" w:hAnsi="Arial" w:cs="Arial"/>
                <w:sz w:val="20"/>
              </w:rPr>
              <w:t>GPhC</w:t>
            </w:r>
            <w:proofErr w:type="spellEnd"/>
            <w:r w:rsidRPr="00AE56DF">
              <w:rPr>
                <w:rFonts w:ascii="Arial" w:hAnsi="Arial" w:cs="Arial"/>
                <w:sz w:val="20"/>
              </w:rPr>
              <w:t>) Standards for Conduct, Ethics and Performance</w:t>
            </w:r>
          </w:p>
          <w:p w14:paraId="6C0A8935" w14:textId="77777777" w:rsidR="00E819BA" w:rsidRPr="00B72DDB" w:rsidRDefault="00E819BA" w:rsidP="002805F7">
            <w:pPr>
              <w:spacing w:after="0"/>
              <w:ind w:left="743" w:hanging="743"/>
              <w:rPr>
                <w:rFonts w:ascii="Arial" w:hAnsi="Arial" w:cs="Arial"/>
                <w:sz w:val="20"/>
              </w:rPr>
            </w:pPr>
          </w:p>
          <w:p w14:paraId="43B8AF8C" w14:textId="77777777" w:rsidR="00DB4649" w:rsidRPr="00B72DDB" w:rsidRDefault="00DB4649" w:rsidP="002805F7">
            <w:pPr>
              <w:spacing w:after="0"/>
              <w:rPr>
                <w:rFonts w:ascii="Arial" w:hAnsi="Arial" w:cs="Arial"/>
                <w:b/>
                <w:sz w:val="20"/>
              </w:rPr>
            </w:pPr>
            <w:r w:rsidRPr="00B72DDB">
              <w:rPr>
                <w:rFonts w:ascii="Arial" w:hAnsi="Arial" w:cs="Arial"/>
                <w:b/>
                <w:sz w:val="20"/>
              </w:rPr>
              <w:t>4.3</w:t>
            </w:r>
            <w:r w:rsidRPr="00B72DDB">
              <w:rPr>
                <w:rFonts w:ascii="Arial" w:hAnsi="Arial" w:cs="Arial"/>
                <w:b/>
                <w:sz w:val="20"/>
              </w:rPr>
              <w:tab/>
              <w:t>Applicable local standards</w:t>
            </w:r>
          </w:p>
          <w:p w14:paraId="1F3362D5" w14:textId="77777777" w:rsidR="00DB4649" w:rsidRPr="00B72DDB" w:rsidRDefault="00DB4649" w:rsidP="002805F7">
            <w:pPr>
              <w:spacing w:after="0"/>
              <w:rPr>
                <w:rFonts w:ascii="Arial" w:hAnsi="Arial" w:cs="Arial"/>
                <w:sz w:val="20"/>
              </w:rPr>
            </w:pPr>
          </w:p>
          <w:p w14:paraId="50883B82" w14:textId="77777777" w:rsidR="00DD16CE" w:rsidRPr="00AE56DF" w:rsidRDefault="00DD16CE" w:rsidP="00DD16CE">
            <w:pPr>
              <w:pStyle w:val="BodyText"/>
              <w:ind w:left="743"/>
              <w:rPr>
                <w:rFonts w:ascii="Arial" w:hAnsi="Arial" w:cs="Arial"/>
                <w:bCs/>
                <w:sz w:val="20"/>
              </w:rPr>
            </w:pPr>
            <w:r w:rsidRPr="00AE56DF">
              <w:rPr>
                <w:rFonts w:ascii="Arial" w:hAnsi="Arial" w:cs="Arial"/>
                <w:bCs/>
                <w:sz w:val="20"/>
              </w:rPr>
              <w:t>Refer to Section 3.2 above</w:t>
            </w:r>
          </w:p>
          <w:p w14:paraId="1163381C" w14:textId="77777777" w:rsidR="00DB4649" w:rsidRPr="00B72DDB" w:rsidRDefault="00DB4649" w:rsidP="002805F7">
            <w:pPr>
              <w:spacing w:after="0"/>
              <w:rPr>
                <w:rFonts w:ascii="Arial" w:hAnsi="Arial" w:cs="Arial"/>
                <w:sz w:val="20"/>
              </w:rPr>
            </w:pPr>
          </w:p>
        </w:tc>
      </w:tr>
      <w:tr w:rsidR="00DB4649" w:rsidRPr="00B72DDB" w14:paraId="310E4DDA" w14:textId="77777777" w:rsidTr="002805F7">
        <w:tc>
          <w:tcPr>
            <w:tcW w:w="8414" w:type="dxa"/>
            <w:shd w:val="clear" w:color="auto" w:fill="auto"/>
          </w:tcPr>
          <w:p w14:paraId="215ABCEB" w14:textId="77777777" w:rsidR="00DB4649" w:rsidRPr="00B72DDB" w:rsidRDefault="00DB4649" w:rsidP="002805F7">
            <w:pPr>
              <w:spacing w:after="0" w:line="276" w:lineRule="auto"/>
              <w:rPr>
                <w:rFonts w:ascii="Arial" w:hAnsi="Arial" w:cs="Arial"/>
                <w:b/>
              </w:rPr>
            </w:pPr>
            <w:bookmarkStart w:id="0" w:name="_Hlk64920241"/>
            <w:r w:rsidRPr="00B72DDB">
              <w:rPr>
                <w:rFonts w:ascii="Arial" w:hAnsi="Arial" w:cs="Arial"/>
                <w:b/>
              </w:rPr>
              <w:t>5.</w:t>
            </w:r>
            <w:r w:rsidRPr="00B72DDB">
              <w:rPr>
                <w:rFonts w:ascii="Arial" w:hAnsi="Arial" w:cs="Arial"/>
                <w:b/>
              </w:rPr>
              <w:tab/>
              <w:t>Applicable quality requirements and CQUIN goals</w:t>
            </w:r>
          </w:p>
        </w:tc>
      </w:tr>
      <w:tr w:rsidR="00DB4649" w:rsidRPr="00B72DDB" w14:paraId="7456E38B" w14:textId="77777777" w:rsidTr="002805F7">
        <w:tc>
          <w:tcPr>
            <w:tcW w:w="8414" w:type="dxa"/>
            <w:shd w:val="clear" w:color="auto" w:fill="auto"/>
          </w:tcPr>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313"/>
              <w:gridCol w:w="1344"/>
              <w:gridCol w:w="1817"/>
              <w:gridCol w:w="1524"/>
            </w:tblGrid>
            <w:tr w:rsidR="00DD16CE" w:rsidRPr="00AE56DF" w14:paraId="609D796E" w14:textId="77777777" w:rsidTr="0010437B">
              <w:trPr>
                <w:trHeight w:val="352"/>
              </w:trPr>
              <w:tc>
                <w:tcPr>
                  <w:tcW w:w="1941" w:type="dxa"/>
                  <w:tcBorders>
                    <w:top w:val="single" w:sz="4" w:space="0" w:color="808080"/>
                    <w:left w:val="single" w:sz="4" w:space="0" w:color="808080"/>
                    <w:bottom w:val="single" w:sz="4" w:space="0" w:color="808080"/>
                    <w:right w:val="single" w:sz="4" w:space="0" w:color="808080"/>
                  </w:tcBorders>
                  <w:shd w:val="clear" w:color="auto" w:fill="E6E6E6"/>
                </w:tcPr>
                <w:p w14:paraId="79468464" w14:textId="77777777" w:rsidR="00DD16CE" w:rsidRPr="00AE56DF" w:rsidRDefault="00DD16CE" w:rsidP="00DD16CE">
                  <w:pPr>
                    <w:pStyle w:val="BodyText"/>
                    <w:rPr>
                      <w:rFonts w:ascii="Arial" w:hAnsi="Arial" w:cs="Arial"/>
                      <w:bCs/>
                      <w:i/>
                      <w:color w:val="000000"/>
                      <w:sz w:val="20"/>
                    </w:rPr>
                  </w:pPr>
                  <w:r w:rsidRPr="00AE56DF">
                    <w:rPr>
                      <w:rFonts w:ascii="Arial" w:hAnsi="Arial" w:cs="Arial"/>
                      <w:bCs/>
                      <w:i/>
                      <w:color w:val="000000"/>
                      <w:sz w:val="20"/>
                    </w:rPr>
                    <w:t>Performance Indicator</w:t>
                  </w:r>
                </w:p>
              </w:tc>
              <w:tc>
                <w:tcPr>
                  <w:tcW w:w="1424" w:type="dxa"/>
                  <w:tcBorders>
                    <w:top w:val="single" w:sz="4" w:space="0" w:color="808080"/>
                    <w:left w:val="single" w:sz="4" w:space="0" w:color="808080"/>
                    <w:bottom w:val="single" w:sz="4" w:space="0" w:color="808080"/>
                    <w:right w:val="single" w:sz="4" w:space="0" w:color="808080"/>
                  </w:tcBorders>
                  <w:shd w:val="clear" w:color="auto" w:fill="E6E6E6"/>
                </w:tcPr>
                <w:p w14:paraId="2151F7BA" w14:textId="77777777" w:rsidR="00DD16CE" w:rsidRPr="00AE56DF" w:rsidRDefault="00DD16CE" w:rsidP="00DD16CE">
                  <w:pPr>
                    <w:pStyle w:val="BodyText"/>
                    <w:rPr>
                      <w:rFonts w:ascii="Arial" w:hAnsi="Arial" w:cs="Arial"/>
                      <w:bCs/>
                      <w:i/>
                      <w:color w:val="000000"/>
                      <w:sz w:val="20"/>
                    </w:rPr>
                  </w:pPr>
                  <w:r w:rsidRPr="00AE56DF">
                    <w:rPr>
                      <w:rFonts w:ascii="Arial" w:hAnsi="Arial" w:cs="Arial"/>
                      <w:bCs/>
                      <w:i/>
                      <w:color w:val="000000"/>
                      <w:sz w:val="20"/>
                    </w:rPr>
                    <w:t>Indicator</w:t>
                  </w:r>
                </w:p>
              </w:tc>
              <w:tc>
                <w:tcPr>
                  <w:tcW w:w="1425" w:type="dxa"/>
                  <w:tcBorders>
                    <w:top w:val="single" w:sz="4" w:space="0" w:color="808080"/>
                    <w:left w:val="single" w:sz="4" w:space="0" w:color="808080"/>
                    <w:bottom w:val="single" w:sz="4" w:space="0" w:color="808080"/>
                    <w:right w:val="single" w:sz="4" w:space="0" w:color="808080"/>
                  </w:tcBorders>
                  <w:shd w:val="clear" w:color="auto" w:fill="E6E6E6"/>
                </w:tcPr>
                <w:p w14:paraId="609956BC" w14:textId="77777777" w:rsidR="00DD16CE" w:rsidRPr="00AE56DF" w:rsidRDefault="00DD16CE" w:rsidP="00DD16CE">
                  <w:pPr>
                    <w:pStyle w:val="BodyText"/>
                    <w:rPr>
                      <w:rFonts w:ascii="Arial" w:hAnsi="Arial" w:cs="Arial"/>
                      <w:bCs/>
                      <w:i/>
                      <w:color w:val="000000"/>
                      <w:sz w:val="20"/>
                    </w:rPr>
                  </w:pPr>
                  <w:r w:rsidRPr="00AE56DF">
                    <w:rPr>
                      <w:rFonts w:ascii="Arial" w:hAnsi="Arial" w:cs="Arial"/>
                      <w:bCs/>
                      <w:i/>
                      <w:color w:val="000000"/>
                      <w:sz w:val="20"/>
                    </w:rPr>
                    <w:t>Threshold</w:t>
                  </w:r>
                </w:p>
              </w:tc>
              <w:tc>
                <w:tcPr>
                  <w:tcW w:w="1453" w:type="dxa"/>
                  <w:tcBorders>
                    <w:top w:val="single" w:sz="4" w:space="0" w:color="808080"/>
                    <w:left w:val="single" w:sz="4" w:space="0" w:color="808080"/>
                    <w:bottom w:val="single" w:sz="4" w:space="0" w:color="808080"/>
                    <w:right w:val="single" w:sz="4" w:space="0" w:color="808080"/>
                  </w:tcBorders>
                  <w:shd w:val="clear" w:color="auto" w:fill="E6E6E6"/>
                </w:tcPr>
                <w:p w14:paraId="75A16507" w14:textId="77777777" w:rsidR="00DD16CE" w:rsidRPr="00AE56DF" w:rsidRDefault="00DD16CE" w:rsidP="00DD16CE">
                  <w:pPr>
                    <w:pStyle w:val="BodyText"/>
                    <w:rPr>
                      <w:rFonts w:ascii="Arial" w:hAnsi="Arial" w:cs="Arial"/>
                      <w:bCs/>
                      <w:i/>
                      <w:color w:val="000000"/>
                      <w:sz w:val="20"/>
                    </w:rPr>
                  </w:pPr>
                  <w:r w:rsidRPr="00AE56DF">
                    <w:rPr>
                      <w:rFonts w:ascii="Arial" w:hAnsi="Arial" w:cs="Arial"/>
                      <w:bCs/>
                      <w:i/>
                      <w:color w:val="000000"/>
                      <w:sz w:val="20"/>
                    </w:rPr>
                    <w:t>Method of Measurement</w:t>
                  </w:r>
                </w:p>
              </w:tc>
              <w:tc>
                <w:tcPr>
                  <w:tcW w:w="1549" w:type="dxa"/>
                  <w:tcBorders>
                    <w:top w:val="single" w:sz="4" w:space="0" w:color="808080"/>
                    <w:left w:val="single" w:sz="4" w:space="0" w:color="808080"/>
                    <w:bottom w:val="single" w:sz="4" w:space="0" w:color="808080"/>
                    <w:right w:val="single" w:sz="4" w:space="0" w:color="808080"/>
                  </w:tcBorders>
                  <w:shd w:val="clear" w:color="auto" w:fill="E6E6E6"/>
                </w:tcPr>
                <w:p w14:paraId="4BADAB9D" w14:textId="77777777" w:rsidR="00DD16CE" w:rsidRPr="00AE56DF" w:rsidRDefault="00DD16CE" w:rsidP="00DD16CE">
                  <w:pPr>
                    <w:pStyle w:val="BodyText"/>
                    <w:jc w:val="both"/>
                    <w:rPr>
                      <w:rFonts w:ascii="Arial" w:hAnsi="Arial" w:cs="Arial"/>
                      <w:bCs/>
                      <w:i/>
                      <w:color w:val="000000"/>
                      <w:sz w:val="20"/>
                    </w:rPr>
                  </w:pPr>
                  <w:r w:rsidRPr="00AE56DF">
                    <w:rPr>
                      <w:rFonts w:ascii="Arial" w:hAnsi="Arial" w:cs="Arial"/>
                      <w:bCs/>
                      <w:i/>
                      <w:color w:val="000000"/>
                      <w:sz w:val="20"/>
                    </w:rPr>
                    <w:t>Consequence of Breach</w:t>
                  </w:r>
                </w:p>
              </w:tc>
            </w:tr>
            <w:tr w:rsidR="00DD16CE" w:rsidRPr="00AE56DF" w14:paraId="2981F7D7" w14:textId="77777777" w:rsidTr="0010437B">
              <w:trPr>
                <w:trHeight w:val="352"/>
              </w:trPr>
              <w:tc>
                <w:tcPr>
                  <w:tcW w:w="1941" w:type="dxa"/>
                  <w:tcBorders>
                    <w:top w:val="single" w:sz="4" w:space="0" w:color="808080"/>
                    <w:left w:val="single" w:sz="4" w:space="0" w:color="808080"/>
                    <w:bottom w:val="single" w:sz="4" w:space="0" w:color="808080"/>
                    <w:right w:val="single" w:sz="4" w:space="0" w:color="808080"/>
                  </w:tcBorders>
                  <w:vAlign w:val="center"/>
                </w:tcPr>
                <w:p w14:paraId="1448512C" w14:textId="77777777" w:rsidR="00DD16CE" w:rsidRPr="00AE56DF" w:rsidRDefault="00DD16CE" w:rsidP="00DD16CE">
                  <w:pPr>
                    <w:pStyle w:val="BodyText"/>
                    <w:rPr>
                      <w:rFonts w:ascii="Arial" w:hAnsi="Arial" w:cs="Arial"/>
                      <w:b/>
                      <w:bCs/>
                      <w:color w:val="000000"/>
                      <w:sz w:val="20"/>
                    </w:rPr>
                  </w:pPr>
                  <w:r w:rsidRPr="00AE56DF">
                    <w:rPr>
                      <w:rFonts w:ascii="Arial" w:hAnsi="Arial" w:cs="Arial"/>
                      <w:b/>
                      <w:bCs/>
                      <w:color w:val="000000"/>
                      <w:sz w:val="20"/>
                    </w:rPr>
                    <w:t>Supply of appropriate medicines</w:t>
                  </w:r>
                </w:p>
              </w:tc>
              <w:tc>
                <w:tcPr>
                  <w:tcW w:w="1424" w:type="dxa"/>
                  <w:tcBorders>
                    <w:top w:val="single" w:sz="4" w:space="0" w:color="808080"/>
                    <w:left w:val="single" w:sz="4" w:space="0" w:color="808080"/>
                    <w:bottom w:val="single" w:sz="4" w:space="0" w:color="808080"/>
                    <w:right w:val="single" w:sz="4" w:space="0" w:color="808080"/>
                  </w:tcBorders>
                  <w:vAlign w:val="center"/>
                </w:tcPr>
                <w:p w14:paraId="355EC127" w14:textId="77777777" w:rsidR="00DD16CE" w:rsidRPr="00AE56DF" w:rsidRDefault="00DD16CE" w:rsidP="00DD16CE">
                  <w:pPr>
                    <w:pStyle w:val="BodyText"/>
                    <w:rPr>
                      <w:rFonts w:ascii="Arial" w:hAnsi="Arial" w:cs="Arial"/>
                      <w:b/>
                      <w:bCs/>
                      <w:color w:val="000000"/>
                      <w:sz w:val="20"/>
                    </w:rPr>
                  </w:pPr>
                  <w:r w:rsidRPr="00AE56DF">
                    <w:rPr>
                      <w:rFonts w:ascii="Arial" w:hAnsi="Arial" w:cs="Arial"/>
                      <w:b/>
                      <w:bCs/>
                      <w:color w:val="000000"/>
                      <w:sz w:val="20"/>
                    </w:rPr>
                    <w:t>Forms</w:t>
                  </w:r>
                </w:p>
              </w:tc>
              <w:tc>
                <w:tcPr>
                  <w:tcW w:w="1425" w:type="dxa"/>
                  <w:tcBorders>
                    <w:top w:val="single" w:sz="4" w:space="0" w:color="808080"/>
                    <w:left w:val="single" w:sz="4" w:space="0" w:color="808080"/>
                    <w:bottom w:val="single" w:sz="4" w:space="0" w:color="808080"/>
                    <w:right w:val="single" w:sz="4" w:space="0" w:color="808080"/>
                  </w:tcBorders>
                  <w:vAlign w:val="center"/>
                </w:tcPr>
                <w:p w14:paraId="0F24C98A" w14:textId="77777777" w:rsidR="00DD16CE" w:rsidRPr="00AE56DF" w:rsidRDefault="00DD16CE" w:rsidP="00DD16CE">
                  <w:pPr>
                    <w:pStyle w:val="BodyText"/>
                    <w:rPr>
                      <w:rFonts w:ascii="Arial" w:hAnsi="Arial" w:cs="Arial"/>
                      <w:b/>
                      <w:bCs/>
                      <w:color w:val="000000"/>
                      <w:sz w:val="20"/>
                    </w:rPr>
                  </w:pPr>
                  <w:r w:rsidRPr="00AE56DF">
                    <w:rPr>
                      <w:rFonts w:ascii="Arial" w:hAnsi="Arial" w:cs="Arial"/>
                      <w:b/>
                      <w:bCs/>
                      <w:color w:val="000000"/>
                      <w:sz w:val="20"/>
                    </w:rPr>
                    <w:t>N/A</w:t>
                  </w:r>
                </w:p>
              </w:tc>
              <w:tc>
                <w:tcPr>
                  <w:tcW w:w="1453" w:type="dxa"/>
                  <w:tcBorders>
                    <w:top w:val="single" w:sz="4" w:space="0" w:color="808080"/>
                    <w:left w:val="single" w:sz="4" w:space="0" w:color="808080"/>
                    <w:bottom w:val="single" w:sz="4" w:space="0" w:color="808080"/>
                    <w:right w:val="single" w:sz="4" w:space="0" w:color="808080"/>
                  </w:tcBorders>
                  <w:vAlign w:val="center"/>
                </w:tcPr>
                <w:p w14:paraId="11547AD8" w14:textId="77777777" w:rsidR="00DD16CE" w:rsidRPr="00AE56DF" w:rsidRDefault="00DD16CE" w:rsidP="00DD16CE">
                  <w:pPr>
                    <w:pStyle w:val="BodyText"/>
                    <w:rPr>
                      <w:rFonts w:ascii="Arial" w:hAnsi="Arial" w:cs="Arial"/>
                      <w:b/>
                      <w:bCs/>
                      <w:color w:val="000000"/>
                      <w:sz w:val="20"/>
                    </w:rPr>
                  </w:pPr>
                  <w:r w:rsidRPr="00AE56DF">
                    <w:rPr>
                      <w:rFonts w:ascii="Arial" w:hAnsi="Arial" w:cs="Arial"/>
                      <w:b/>
                      <w:bCs/>
                      <w:color w:val="000000"/>
                      <w:sz w:val="20"/>
                    </w:rPr>
                    <w:t>Review of submitted forms</w:t>
                  </w:r>
                  <w:r>
                    <w:rPr>
                      <w:rFonts w:ascii="Arial" w:hAnsi="Arial" w:cs="Arial"/>
                      <w:b/>
                      <w:bCs/>
                      <w:color w:val="000000"/>
                      <w:sz w:val="20"/>
                    </w:rPr>
                    <w:t xml:space="preserve"> via reports from </w:t>
                  </w:r>
                  <w:proofErr w:type="spellStart"/>
                  <w:r>
                    <w:rPr>
                      <w:rFonts w:ascii="Arial" w:hAnsi="Arial" w:cs="Arial"/>
                      <w:b/>
                      <w:bCs/>
                      <w:color w:val="000000"/>
                      <w:sz w:val="20"/>
                    </w:rPr>
                    <w:t>PharmOutcomes</w:t>
                  </w:r>
                  <w:proofErr w:type="spellEnd"/>
                  <w:r>
                    <w:rPr>
                      <w:rFonts w:ascii="Arial" w:hAnsi="Arial" w:cs="Arial"/>
                      <w:b/>
                      <w:bCs/>
                      <w:color w:val="000000"/>
                      <w:sz w:val="20"/>
                    </w:rPr>
                    <w:t xml:space="preserve"> </w:t>
                  </w:r>
                </w:p>
              </w:tc>
              <w:tc>
                <w:tcPr>
                  <w:tcW w:w="1549" w:type="dxa"/>
                  <w:tcBorders>
                    <w:top w:val="single" w:sz="4" w:space="0" w:color="808080"/>
                    <w:left w:val="single" w:sz="4" w:space="0" w:color="808080"/>
                    <w:bottom w:val="single" w:sz="4" w:space="0" w:color="808080"/>
                    <w:right w:val="single" w:sz="4" w:space="0" w:color="808080"/>
                  </w:tcBorders>
                  <w:vAlign w:val="center"/>
                </w:tcPr>
                <w:p w14:paraId="70F95D6C" w14:textId="77777777" w:rsidR="00DD16CE" w:rsidRPr="00AE56DF" w:rsidRDefault="00DD16CE" w:rsidP="00DD16CE">
                  <w:pPr>
                    <w:pStyle w:val="BodyText"/>
                    <w:rPr>
                      <w:rFonts w:ascii="Arial" w:hAnsi="Arial" w:cs="Arial"/>
                      <w:b/>
                      <w:bCs/>
                      <w:color w:val="000000"/>
                      <w:sz w:val="20"/>
                    </w:rPr>
                  </w:pPr>
                  <w:r w:rsidRPr="00AE56DF">
                    <w:rPr>
                      <w:rFonts w:ascii="Arial" w:hAnsi="Arial" w:cs="Arial"/>
                      <w:b/>
                      <w:bCs/>
                      <w:color w:val="000000"/>
                      <w:sz w:val="20"/>
                    </w:rPr>
                    <w:t>Non-payment</w:t>
                  </w:r>
                  <w:r>
                    <w:rPr>
                      <w:rFonts w:ascii="Arial" w:hAnsi="Arial" w:cs="Arial"/>
                      <w:b/>
                      <w:bCs/>
                      <w:color w:val="000000"/>
                      <w:sz w:val="20"/>
                    </w:rPr>
                    <w:t xml:space="preserve"> – see Schedule 3</w:t>
                  </w:r>
                </w:p>
              </w:tc>
            </w:tr>
            <w:tr w:rsidR="00DD16CE" w:rsidRPr="00AE56DF" w14:paraId="0A2E9727" w14:textId="77777777" w:rsidTr="0010437B">
              <w:trPr>
                <w:trHeight w:val="352"/>
              </w:trPr>
              <w:tc>
                <w:tcPr>
                  <w:tcW w:w="1941" w:type="dxa"/>
                  <w:tcBorders>
                    <w:top w:val="single" w:sz="4" w:space="0" w:color="808080"/>
                    <w:left w:val="single" w:sz="4" w:space="0" w:color="808080"/>
                    <w:bottom w:val="single" w:sz="4" w:space="0" w:color="808080"/>
                    <w:right w:val="single" w:sz="4" w:space="0" w:color="808080"/>
                  </w:tcBorders>
                  <w:vAlign w:val="center"/>
                </w:tcPr>
                <w:p w14:paraId="7A0DB377" w14:textId="77777777" w:rsidR="00DD16CE" w:rsidRPr="00AE56DF" w:rsidRDefault="00DD16CE" w:rsidP="00DD16CE">
                  <w:pPr>
                    <w:pStyle w:val="BodyText"/>
                    <w:rPr>
                      <w:rFonts w:ascii="Arial" w:hAnsi="Arial" w:cs="Arial"/>
                      <w:b/>
                      <w:bCs/>
                      <w:i/>
                      <w:color w:val="000000"/>
                      <w:sz w:val="20"/>
                    </w:rPr>
                  </w:pPr>
                </w:p>
              </w:tc>
              <w:tc>
                <w:tcPr>
                  <w:tcW w:w="1424" w:type="dxa"/>
                  <w:tcBorders>
                    <w:top w:val="single" w:sz="4" w:space="0" w:color="808080"/>
                    <w:left w:val="single" w:sz="4" w:space="0" w:color="808080"/>
                    <w:bottom w:val="single" w:sz="4" w:space="0" w:color="808080"/>
                    <w:right w:val="single" w:sz="4" w:space="0" w:color="808080"/>
                  </w:tcBorders>
                  <w:vAlign w:val="center"/>
                </w:tcPr>
                <w:p w14:paraId="7AAADD8E" w14:textId="77777777" w:rsidR="00DD16CE" w:rsidRPr="00AE56DF" w:rsidRDefault="00DD16CE" w:rsidP="00DD16CE">
                  <w:pPr>
                    <w:pStyle w:val="BodyText"/>
                    <w:rPr>
                      <w:rFonts w:ascii="Arial" w:hAnsi="Arial" w:cs="Arial"/>
                      <w:b/>
                      <w:bCs/>
                      <w:color w:val="000000"/>
                      <w:sz w:val="20"/>
                    </w:rPr>
                  </w:pPr>
                </w:p>
              </w:tc>
              <w:tc>
                <w:tcPr>
                  <w:tcW w:w="1425" w:type="dxa"/>
                  <w:tcBorders>
                    <w:top w:val="single" w:sz="4" w:space="0" w:color="808080"/>
                    <w:left w:val="single" w:sz="4" w:space="0" w:color="808080"/>
                    <w:bottom w:val="single" w:sz="4" w:space="0" w:color="808080"/>
                    <w:right w:val="single" w:sz="4" w:space="0" w:color="808080"/>
                  </w:tcBorders>
                  <w:vAlign w:val="center"/>
                </w:tcPr>
                <w:p w14:paraId="08027E36" w14:textId="77777777" w:rsidR="00DD16CE" w:rsidRPr="00AE56DF" w:rsidRDefault="00DD16CE" w:rsidP="00DD16CE">
                  <w:pPr>
                    <w:pStyle w:val="BodyText"/>
                    <w:rPr>
                      <w:rFonts w:ascii="Arial" w:hAnsi="Arial" w:cs="Arial"/>
                      <w:b/>
                      <w:bCs/>
                      <w:color w:val="000000"/>
                      <w:sz w:val="20"/>
                    </w:rPr>
                  </w:pPr>
                </w:p>
              </w:tc>
              <w:tc>
                <w:tcPr>
                  <w:tcW w:w="1453" w:type="dxa"/>
                  <w:tcBorders>
                    <w:top w:val="single" w:sz="4" w:space="0" w:color="808080"/>
                    <w:left w:val="single" w:sz="4" w:space="0" w:color="808080"/>
                    <w:bottom w:val="single" w:sz="4" w:space="0" w:color="808080"/>
                    <w:right w:val="single" w:sz="4" w:space="0" w:color="808080"/>
                  </w:tcBorders>
                  <w:vAlign w:val="center"/>
                </w:tcPr>
                <w:p w14:paraId="62B08733" w14:textId="77777777" w:rsidR="00DD16CE" w:rsidRPr="00AE56DF" w:rsidRDefault="00DD16CE" w:rsidP="00DD16CE">
                  <w:pPr>
                    <w:pStyle w:val="BodyText"/>
                    <w:rPr>
                      <w:rFonts w:ascii="Arial" w:hAnsi="Arial" w:cs="Arial"/>
                      <w:b/>
                      <w:bCs/>
                      <w:color w:val="000000"/>
                      <w:sz w:val="20"/>
                    </w:rPr>
                  </w:pPr>
                </w:p>
              </w:tc>
              <w:tc>
                <w:tcPr>
                  <w:tcW w:w="1549" w:type="dxa"/>
                  <w:tcBorders>
                    <w:top w:val="single" w:sz="4" w:space="0" w:color="808080"/>
                    <w:left w:val="single" w:sz="4" w:space="0" w:color="808080"/>
                    <w:bottom w:val="single" w:sz="4" w:space="0" w:color="808080"/>
                    <w:right w:val="single" w:sz="4" w:space="0" w:color="808080"/>
                  </w:tcBorders>
                  <w:vAlign w:val="center"/>
                </w:tcPr>
                <w:p w14:paraId="293FA877" w14:textId="77777777" w:rsidR="00DD16CE" w:rsidRPr="00AE56DF" w:rsidRDefault="00DD16CE" w:rsidP="00DD16CE">
                  <w:pPr>
                    <w:pStyle w:val="BodyText"/>
                    <w:rPr>
                      <w:rFonts w:ascii="Arial" w:hAnsi="Arial" w:cs="Arial"/>
                      <w:b/>
                      <w:bCs/>
                      <w:color w:val="000000"/>
                      <w:sz w:val="20"/>
                    </w:rPr>
                  </w:pPr>
                </w:p>
              </w:tc>
            </w:tr>
          </w:tbl>
          <w:p w14:paraId="0CCD6CCE" w14:textId="77777777" w:rsidR="00DB4649" w:rsidRPr="00B72DDB" w:rsidRDefault="00DB4649" w:rsidP="002805F7">
            <w:pPr>
              <w:spacing w:after="0"/>
              <w:rPr>
                <w:rFonts w:ascii="Arial" w:hAnsi="Arial" w:cs="Arial"/>
                <w:sz w:val="20"/>
              </w:rPr>
            </w:pPr>
          </w:p>
          <w:p w14:paraId="7782AB23" w14:textId="438E8CB9" w:rsidR="00DB4649" w:rsidRPr="00DD16CE" w:rsidRDefault="00DD16CE" w:rsidP="00DD16CE">
            <w:pPr>
              <w:pStyle w:val="ListParagraph"/>
              <w:numPr>
                <w:ilvl w:val="1"/>
                <w:numId w:val="7"/>
              </w:numPr>
              <w:rPr>
                <w:rFonts w:ascii="Arial" w:hAnsi="Arial" w:cs="Arial"/>
                <w:b/>
                <w:sz w:val="20"/>
              </w:rPr>
            </w:pPr>
            <w:r>
              <w:rPr>
                <w:rFonts w:ascii="Arial" w:hAnsi="Arial" w:cs="Arial"/>
                <w:b/>
                <w:sz w:val="20"/>
              </w:rPr>
              <w:t xml:space="preserve">      </w:t>
            </w:r>
            <w:r w:rsidR="00DB4649" w:rsidRPr="00DD16CE">
              <w:rPr>
                <w:rFonts w:ascii="Arial" w:hAnsi="Arial" w:cs="Arial"/>
                <w:b/>
                <w:sz w:val="20"/>
              </w:rPr>
              <w:t>Applicable CQUIN goals (See Schedule 3E)</w:t>
            </w:r>
          </w:p>
          <w:p w14:paraId="076622EF" w14:textId="62EF8124" w:rsidR="00DB4649" w:rsidRPr="00B72DDB" w:rsidRDefault="00DD16CE" w:rsidP="00DD16CE">
            <w:pPr>
              <w:ind w:left="743" w:right="56"/>
              <w:jc w:val="both"/>
              <w:rPr>
                <w:rFonts w:ascii="Arial" w:hAnsi="Arial" w:cs="Arial"/>
                <w:sz w:val="20"/>
              </w:rPr>
            </w:pPr>
            <w:r w:rsidRPr="00AE56DF">
              <w:rPr>
                <w:rFonts w:ascii="Arial" w:eastAsia="Arial" w:hAnsi="Arial" w:cs="Arial"/>
                <w:sz w:val="20"/>
              </w:rPr>
              <w:t>N/A</w:t>
            </w:r>
          </w:p>
        </w:tc>
      </w:tr>
      <w:bookmarkEnd w:id="0"/>
      <w:tr w:rsidR="00DB4649" w:rsidRPr="00B72DDB" w14:paraId="53DBE4AD" w14:textId="77777777" w:rsidTr="002805F7">
        <w:tc>
          <w:tcPr>
            <w:tcW w:w="8414" w:type="dxa"/>
            <w:shd w:val="clear" w:color="auto" w:fill="auto"/>
          </w:tcPr>
          <w:p w14:paraId="44643897" w14:textId="77777777" w:rsidR="00DB4649" w:rsidRPr="00B72DDB" w:rsidRDefault="00DB4649" w:rsidP="002805F7">
            <w:pPr>
              <w:spacing w:after="0" w:line="276" w:lineRule="auto"/>
              <w:rPr>
                <w:rFonts w:ascii="Arial" w:hAnsi="Arial" w:cs="Arial"/>
                <w:b/>
              </w:rPr>
            </w:pPr>
            <w:r w:rsidRPr="00B72DDB">
              <w:rPr>
                <w:rFonts w:ascii="Arial" w:hAnsi="Arial" w:cs="Arial"/>
                <w:b/>
              </w:rPr>
              <w:t>6.</w:t>
            </w:r>
            <w:r w:rsidRPr="00B72DDB">
              <w:rPr>
                <w:rFonts w:ascii="Arial" w:hAnsi="Arial" w:cs="Arial"/>
                <w:b/>
              </w:rPr>
              <w:tab/>
              <w:t>Location of Provider Premises</w:t>
            </w:r>
          </w:p>
        </w:tc>
      </w:tr>
      <w:tr w:rsidR="00DB4649" w:rsidRPr="00B72DDB" w14:paraId="35737557" w14:textId="77777777" w:rsidTr="002805F7">
        <w:tc>
          <w:tcPr>
            <w:tcW w:w="8414" w:type="dxa"/>
            <w:shd w:val="clear" w:color="auto" w:fill="auto"/>
          </w:tcPr>
          <w:p w14:paraId="35E0A94C" w14:textId="77777777" w:rsidR="00DB4649" w:rsidRPr="00B72DDB" w:rsidRDefault="00DB4649" w:rsidP="002805F7">
            <w:pPr>
              <w:spacing w:after="0"/>
              <w:rPr>
                <w:rFonts w:ascii="Arial" w:hAnsi="Arial" w:cs="Arial"/>
                <w:sz w:val="20"/>
              </w:rPr>
            </w:pPr>
          </w:p>
          <w:p w14:paraId="06CBAA65" w14:textId="77777777" w:rsidR="00DB4649" w:rsidRPr="00B72DDB" w:rsidRDefault="00DB4649" w:rsidP="002805F7">
            <w:pPr>
              <w:spacing w:after="0"/>
              <w:rPr>
                <w:rFonts w:ascii="Arial" w:hAnsi="Arial" w:cs="Arial"/>
                <w:b/>
                <w:sz w:val="20"/>
              </w:rPr>
            </w:pPr>
            <w:r>
              <w:rPr>
                <w:rFonts w:ascii="Arial" w:hAnsi="Arial" w:cs="Arial"/>
                <w:b/>
                <w:sz w:val="20"/>
              </w:rPr>
              <w:t>6.1</w:t>
            </w:r>
            <w:r>
              <w:rPr>
                <w:rFonts w:ascii="Arial" w:hAnsi="Arial" w:cs="Arial"/>
                <w:sz w:val="20"/>
              </w:rPr>
              <w:tab/>
            </w:r>
            <w:r w:rsidRPr="00B72DDB">
              <w:rPr>
                <w:rFonts w:ascii="Arial" w:hAnsi="Arial" w:cs="Arial"/>
                <w:b/>
                <w:sz w:val="20"/>
              </w:rPr>
              <w:t>The Provider’s Premises are located at:</w:t>
            </w:r>
          </w:p>
          <w:p w14:paraId="1E9AD894" w14:textId="77777777" w:rsidR="00DB4649" w:rsidRPr="00B72DDB" w:rsidRDefault="00DB4649" w:rsidP="002805F7">
            <w:pPr>
              <w:spacing w:after="0"/>
              <w:rPr>
                <w:rFonts w:ascii="Arial" w:hAnsi="Arial" w:cs="Arial"/>
                <w:sz w:val="20"/>
              </w:rPr>
            </w:pPr>
          </w:p>
        </w:tc>
      </w:tr>
      <w:tr w:rsidR="00DB4649" w:rsidRPr="00B72DDB" w14:paraId="4AAF818D" w14:textId="77777777" w:rsidTr="002805F7">
        <w:tc>
          <w:tcPr>
            <w:tcW w:w="8414" w:type="dxa"/>
            <w:shd w:val="clear" w:color="auto" w:fill="auto"/>
          </w:tcPr>
          <w:p w14:paraId="296960B3" w14:textId="77777777" w:rsidR="00DB4649" w:rsidRPr="00B72DDB" w:rsidRDefault="00DB4649" w:rsidP="002805F7">
            <w:pPr>
              <w:spacing w:after="0" w:line="276" w:lineRule="auto"/>
              <w:rPr>
                <w:rFonts w:ascii="Arial" w:hAnsi="Arial" w:cs="Arial"/>
                <w:b/>
              </w:rPr>
            </w:pPr>
            <w:r w:rsidRPr="00B72DDB">
              <w:rPr>
                <w:rFonts w:ascii="Arial" w:hAnsi="Arial" w:cs="Arial"/>
                <w:b/>
              </w:rPr>
              <w:t>7.</w:t>
            </w:r>
            <w:r w:rsidRPr="00B72DDB">
              <w:rPr>
                <w:rFonts w:ascii="Arial" w:hAnsi="Arial" w:cs="Arial"/>
                <w:b/>
              </w:rPr>
              <w:tab/>
              <w:t>Individual Service User Placement</w:t>
            </w:r>
          </w:p>
        </w:tc>
      </w:tr>
      <w:tr w:rsidR="00DD16CE" w:rsidRPr="00B72DDB" w14:paraId="55E9CF87" w14:textId="77777777" w:rsidTr="002805F7">
        <w:tc>
          <w:tcPr>
            <w:tcW w:w="8414" w:type="dxa"/>
            <w:shd w:val="clear" w:color="auto" w:fill="auto"/>
          </w:tcPr>
          <w:p w14:paraId="2D34994C" w14:textId="5054DEAD" w:rsidR="00DD16CE" w:rsidRPr="00B72DDB" w:rsidRDefault="00DD16CE" w:rsidP="00DD16CE">
            <w:pPr>
              <w:spacing w:after="0"/>
              <w:rPr>
                <w:rFonts w:ascii="Arial" w:hAnsi="Arial" w:cs="Arial"/>
                <w:sz w:val="20"/>
              </w:rPr>
            </w:pPr>
            <w:r w:rsidRPr="00AE56DF">
              <w:rPr>
                <w:rFonts w:ascii="Arial" w:hAnsi="Arial" w:cs="Arial"/>
                <w:sz w:val="20"/>
              </w:rPr>
              <w:t>Version: 1.0</w:t>
            </w:r>
          </w:p>
        </w:tc>
      </w:tr>
      <w:tr w:rsidR="00DD16CE" w:rsidRPr="00B72DDB" w14:paraId="644F06BA" w14:textId="77777777" w:rsidTr="002805F7">
        <w:tc>
          <w:tcPr>
            <w:tcW w:w="8414" w:type="dxa"/>
            <w:shd w:val="clear" w:color="auto" w:fill="auto"/>
          </w:tcPr>
          <w:p w14:paraId="05CB5380" w14:textId="158B99F8" w:rsidR="00DD16CE" w:rsidRPr="00B72DDB" w:rsidRDefault="00DD16CE" w:rsidP="00DD16CE">
            <w:pPr>
              <w:spacing w:after="0"/>
              <w:rPr>
                <w:rFonts w:ascii="Arial" w:hAnsi="Arial" w:cs="Arial"/>
                <w:sz w:val="20"/>
              </w:rPr>
            </w:pPr>
            <w:r w:rsidRPr="00AE56DF">
              <w:rPr>
                <w:rFonts w:ascii="Arial" w:hAnsi="Arial" w:cs="Arial"/>
                <w:sz w:val="20"/>
              </w:rPr>
              <w:t>Agreed by Commissioner and date:</w:t>
            </w:r>
            <w:r>
              <w:rPr>
                <w:rFonts w:ascii="Arial" w:hAnsi="Arial" w:cs="Arial"/>
                <w:sz w:val="20"/>
              </w:rPr>
              <w:t xml:space="preserve"> Georgina </w:t>
            </w:r>
            <w:proofErr w:type="spellStart"/>
            <w:r>
              <w:rPr>
                <w:rFonts w:ascii="Arial" w:hAnsi="Arial" w:cs="Arial"/>
                <w:sz w:val="20"/>
              </w:rPr>
              <w:t>Praed</w:t>
            </w:r>
            <w:proofErr w:type="spellEnd"/>
            <w:r>
              <w:rPr>
                <w:rFonts w:ascii="Arial" w:hAnsi="Arial" w:cs="Arial"/>
                <w:sz w:val="20"/>
              </w:rPr>
              <w:t xml:space="preserve"> </w:t>
            </w:r>
          </w:p>
        </w:tc>
      </w:tr>
      <w:tr w:rsidR="00DD16CE" w:rsidRPr="00B72DDB" w14:paraId="5D0F0541" w14:textId="77777777" w:rsidTr="002805F7">
        <w:tc>
          <w:tcPr>
            <w:tcW w:w="8414" w:type="dxa"/>
            <w:shd w:val="clear" w:color="auto" w:fill="auto"/>
          </w:tcPr>
          <w:p w14:paraId="1C80D582" w14:textId="77777777" w:rsidR="00DD16CE" w:rsidRPr="00AE56DF" w:rsidRDefault="00DD16CE" w:rsidP="00DD16CE">
            <w:pPr>
              <w:spacing w:after="0"/>
              <w:rPr>
                <w:rFonts w:ascii="Arial" w:hAnsi="Arial" w:cs="Arial"/>
                <w:sz w:val="20"/>
              </w:rPr>
            </w:pPr>
            <w:r w:rsidRPr="00AE56DF">
              <w:rPr>
                <w:rFonts w:ascii="Arial" w:hAnsi="Arial" w:cs="Arial"/>
                <w:sz w:val="20"/>
              </w:rPr>
              <w:t>Agreed by Provider and date:</w:t>
            </w:r>
          </w:p>
          <w:p w14:paraId="16DDFBBB" w14:textId="77777777" w:rsidR="00DD16CE" w:rsidRPr="00B72DDB" w:rsidRDefault="00DD16CE" w:rsidP="00DD16CE">
            <w:pPr>
              <w:spacing w:after="0"/>
              <w:rPr>
                <w:rFonts w:ascii="Arial" w:hAnsi="Arial" w:cs="Arial"/>
                <w:sz w:val="20"/>
              </w:rPr>
            </w:pPr>
          </w:p>
        </w:tc>
      </w:tr>
    </w:tbl>
    <w:p w14:paraId="4FA12651" w14:textId="77777777" w:rsidR="00EB0E42" w:rsidRDefault="00EB0E42" w:rsidP="00DD16CE"/>
    <w:sectPr w:rsidR="00EB0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2DF"/>
    <w:multiLevelType w:val="hybridMultilevel"/>
    <w:tmpl w:val="557A7E5C"/>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4263A8"/>
    <w:multiLevelType w:val="hybridMultilevel"/>
    <w:tmpl w:val="E6C4835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 w15:restartNumberingAfterBreak="0">
    <w:nsid w:val="6A840B86"/>
    <w:multiLevelType w:val="hybridMultilevel"/>
    <w:tmpl w:val="8296532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4"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C53BC0"/>
    <w:multiLevelType w:val="multilevel"/>
    <w:tmpl w:val="F0546D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DC3122"/>
    <w:multiLevelType w:val="hybridMultilevel"/>
    <w:tmpl w:val="2670F67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49"/>
    <w:rsid w:val="0030195D"/>
    <w:rsid w:val="00854B76"/>
    <w:rsid w:val="00DB4649"/>
    <w:rsid w:val="00DD16CE"/>
    <w:rsid w:val="00E819BA"/>
    <w:rsid w:val="00EB0E42"/>
    <w:rsid w:val="00F5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B600"/>
  <w15:chartTrackingRefBased/>
  <w15:docId w15:val="{7B113BBE-4E69-46B9-9729-0B9FF631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49"/>
    <w:pPr>
      <w:spacing w:line="240" w:lineRule="auto"/>
    </w:pPr>
    <w:rPr>
      <w:rFonts w:eastAsiaTheme="minorEastAsia"/>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6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DB4649"/>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DB4649"/>
    <w:rPr>
      <w:rFonts w:ascii="Times New Roman" w:eastAsia="Times New Roman" w:hAnsi="Times New Roman" w:cs="Times New Roman"/>
      <w:sz w:val="24"/>
      <w:szCs w:val="24"/>
      <w:lang w:eastAsia="en-GB"/>
    </w:rPr>
  </w:style>
  <w:style w:type="paragraph" w:customStyle="1" w:styleId="Default">
    <w:name w:val="Default"/>
    <w:rsid w:val="00854B76"/>
    <w:pPr>
      <w:autoSpaceDE w:val="0"/>
      <w:autoSpaceDN w:val="0"/>
      <w:adjustRightInd w:val="0"/>
      <w:spacing w:after="0" w:line="240" w:lineRule="auto"/>
    </w:pPr>
    <w:rPr>
      <w:rFonts w:ascii="Syntax" w:eastAsia="MS ??" w:hAnsi="Syntax" w:cs="Syntax"/>
      <w:color w:val="000000"/>
      <w:sz w:val="24"/>
      <w:szCs w:val="24"/>
      <w:lang w:eastAsia="en-GB"/>
    </w:rPr>
  </w:style>
  <w:style w:type="character" w:styleId="Hyperlink">
    <w:name w:val="Hyperlink"/>
    <w:uiPriority w:val="99"/>
    <w:unhideWhenUsed/>
    <w:rsid w:val="0030195D"/>
    <w:rPr>
      <w:color w:val="0000FF"/>
      <w:u w:val="single"/>
    </w:rPr>
  </w:style>
  <w:style w:type="paragraph" w:styleId="BodyText">
    <w:name w:val="Body Text"/>
    <w:basedOn w:val="Normal"/>
    <w:link w:val="BodyTextChar"/>
    <w:uiPriority w:val="99"/>
    <w:semiHidden/>
    <w:unhideWhenUsed/>
    <w:rsid w:val="00DD16CE"/>
    <w:pPr>
      <w:spacing w:after="120"/>
    </w:pPr>
  </w:style>
  <w:style w:type="character" w:customStyle="1" w:styleId="BodyTextChar">
    <w:name w:val="Body Text Char"/>
    <w:basedOn w:val="DefaultParagraphFont"/>
    <w:link w:val="BodyText"/>
    <w:uiPriority w:val="99"/>
    <w:semiHidden/>
    <w:rsid w:val="00DD16CE"/>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west.devonformularyguidance.nhs.uk/" TargetMode="External"/><Relationship Id="rId3" Type="http://schemas.openxmlformats.org/officeDocument/2006/relationships/settings" Target="settings.xml"/><Relationship Id="rId7" Type="http://schemas.openxmlformats.org/officeDocument/2006/relationships/hyperlink" Target="https://www.eclipsesolutions.org/CORNWAL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Steven (NHS KERNOW CCG)</dc:creator>
  <cp:keywords/>
  <dc:description/>
  <cp:lastModifiedBy>LEE, Fiona (NHS KERNOW CCG)</cp:lastModifiedBy>
  <cp:revision>3</cp:revision>
  <dcterms:created xsi:type="dcterms:W3CDTF">2021-04-12T14:22:00Z</dcterms:created>
  <dcterms:modified xsi:type="dcterms:W3CDTF">2021-04-12T15:00:00Z</dcterms:modified>
</cp:coreProperties>
</file>